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1F5" w:rsidRPr="007231F5" w:rsidRDefault="007231F5" w:rsidP="00250FE9">
      <w:pPr>
        <w:spacing w:after="0" w:line="240" w:lineRule="auto"/>
        <w:ind w:right="1758"/>
        <w:jc w:val="both"/>
        <w:rPr>
          <w:rFonts w:ascii="Tahoma" w:hAnsi="Tahoma" w:cs="Tahoma"/>
          <w:b/>
          <w:sz w:val="20"/>
          <w:szCs w:val="20"/>
        </w:rPr>
      </w:pPr>
    </w:p>
    <w:p w:rsidR="007231F5" w:rsidRPr="00A83573" w:rsidRDefault="007231F5" w:rsidP="00B365EB">
      <w:pPr>
        <w:pStyle w:val="Textoindependiente"/>
        <w:widowControl w:val="0"/>
        <w:tabs>
          <w:tab w:val="left" w:pos="2410"/>
          <w:tab w:val="left" w:pos="3828"/>
          <w:tab w:val="left" w:pos="5954"/>
          <w:tab w:val="left" w:pos="6946"/>
        </w:tabs>
        <w:suppressAutoHyphens/>
        <w:spacing w:after="0" w:line="240" w:lineRule="auto"/>
        <w:ind w:left="3828" w:right="2268" w:hanging="993"/>
        <w:jc w:val="both"/>
        <w:rPr>
          <w:rFonts w:ascii="Tahoma" w:hAnsi="Tahoma" w:cs="Tahoma"/>
          <w:i/>
          <w:sz w:val="20"/>
          <w:szCs w:val="20"/>
          <w:lang w:val="es-PE"/>
        </w:rPr>
      </w:pPr>
      <w:r w:rsidRPr="007231F5">
        <w:rPr>
          <w:rFonts w:ascii="Tahoma" w:hAnsi="Tahoma" w:cs="Tahoma"/>
          <w:b/>
          <w:sz w:val="20"/>
          <w:szCs w:val="20"/>
        </w:rPr>
        <w:t>Sumilla</w:t>
      </w:r>
      <w:r w:rsidR="00A83573" w:rsidRPr="007231F5">
        <w:rPr>
          <w:rFonts w:ascii="Tahoma" w:hAnsi="Tahoma" w:cs="Tahoma"/>
          <w:b/>
          <w:sz w:val="20"/>
          <w:szCs w:val="20"/>
        </w:rPr>
        <w:t xml:space="preserve">: </w:t>
      </w:r>
      <w:r w:rsidR="00A83573" w:rsidRPr="00A83573">
        <w:rPr>
          <w:rFonts w:ascii="Tahoma" w:hAnsi="Tahoma" w:cs="Tahoma"/>
          <w:i/>
          <w:sz w:val="20"/>
          <w:szCs w:val="20"/>
        </w:rPr>
        <w:t>La Ley Nº 27444, y el Reglamento han establecido que la responsabilidad por la presentación de documentos falsos o inexactos corresponde al administrado que lo presentó en el trámite del procedimiento administrativo</w:t>
      </w:r>
      <w:r w:rsidRPr="00A83573">
        <w:rPr>
          <w:rFonts w:ascii="Tahoma" w:hAnsi="Tahoma" w:cs="Tahoma"/>
          <w:i/>
          <w:sz w:val="20"/>
          <w:szCs w:val="20"/>
        </w:rPr>
        <w:t>.</w:t>
      </w:r>
    </w:p>
    <w:p w:rsidR="00A83573" w:rsidRDefault="00A83573" w:rsidP="009A5713">
      <w:pPr>
        <w:pStyle w:val="Textoindependiente3"/>
        <w:spacing w:after="0"/>
        <w:ind w:right="179"/>
        <w:jc w:val="both"/>
        <w:rPr>
          <w:rFonts w:ascii="Tahoma" w:hAnsi="Tahoma" w:cs="Tahoma"/>
          <w:b/>
          <w:sz w:val="20"/>
          <w:szCs w:val="20"/>
        </w:rPr>
      </w:pPr>
    </w:p>
    <w:p w:rsidR="007231F5" w:rsidRPr="007231F5" w:rsidRDefault="009A5713" w:rsidP="00250FE9">
      <w:pPr>
        <w:pStyle w:val="Textoindependiente3"/>
        <w:spacing w:after="0"/>
        <w:ind w:left="4248" w:right="179" w:firstLine="708"/>
        <w:jc w:val="both"/>
        <w:rPr>
          <w:rFonts w:ascii="Tahoma" w:hAnsi="Tahoma" w:cs="Tahoma"/>
          <w:sz w:val="20"/>
          <w:szCs w:val="20"/>
        </w:rPr>
      </w:pPr>
      <w:r>
        <w:rPr>
          <w:rFonts w:ascii="Tahoma" w:hAnsi="Tahoma" w:cs="Tahoma"/>
          <w:b/>
          <w:sz w:val="20"/>
          <w:szCs w:val="20"/>
        </w:rPr>
        <w:t xml:space="preserve">          </w:t>
      </w:r>
      <w:r w:rsidR="007231F5" w:rsidRPr="007231F5">
        <w:rPr>
          <w:rFonts w:ascii="Tahoma" w:hAnsi="Tahoma" w:cs="Tahoma"/>
          <w:b/>
          <w:sz w:val="20"/>
          <w:szCs w:val="20"/>
        </w:rPr>
        <w:t>Lima</w:t>
      </w:r>
      <w:r w:rsidR="007231F5" w:rsidRPr="007231F5">
        <w:rPr>
          <w:rFonts w:ascii="Tahoma" w:hAnsi="Tahoma" w:cs="Tahoma"/>
          <w:sz w:val="20"/>
          <w:szCs w:val="20"/>
        </w:rPr>
        <w:t xml:space="preserve">, </w:t>
      </w:r>
      <w:r w:rsidRPr="009A5713">
        <w:rPr>
          <w:rFonts w:ascii="Tahoma" w:hAnsi="Tahoma" w:cs="Tahoma"/>
          <w:b/>
          <w:sz w:val="20"/>
          <w:szCs w:val="20"/>
        </w:rPr>
        <w:t>28 de Febrero de 2011</w:t>
      </w:r>
    </w:p>
    <w:p w:rsidR="007231F5" w:rsidRPr="007231F5" w:rsidRDefault="007231F5" w:rsidP="00250FE9">
      <w:pPr>
        <w:pStyle w:val="Textoindependiente3"/>
        <w:spacing w:after="0"/>
        <w:jc w:val="both"/>
        <w:rPr>
          <w:rFonts w:ascii="Tahoma" w:hAnsi="Tahoma" w:cs="Tahoma"/>
          <w:sz w:val="20"/>
          <w:szCs w:val="20"/>
        </w:rPr>
      </w:pPr>
    </w:p>
    <w:p w:rsidR="007231F5" w:rsidRPr="007231F5" w:rsidRDefault="007231F5" w:rsidP="00250FE9">
      <w:pPr>
        <w:spacing w:after="0" w:line="240" w:lineRule="auto"/>
        <w:jc w:val="both"/>
        <w:rPr>
          <w:rFonts w:ascii="Tahoma" w:hAnsi="Tahoma" w:cs="Tahoma"/>
          <w:sz w:val="20"/>
          <w:szCs w:val="20"/>
        </w:rPr>
      </w:pPr>
      <w:r w:rsidRPr="007231F5">
        <w:rPr>
          <w:rFonts w:ascii="Tahoma" w:hAnsi="Tahoma" w:cs="Tahoma"/>
          <w:b/>
          <w:sz w:val="20"/>
          <w:szCs w:val="20"/>
        </w:rPr>
        <w:t>VISTO</w:t>
      </w:r>
      <w:r w:rsidRPr="007231F5">
        <w:rPr>
          <w:rFonts w:ascii="Tahoma" w:hAnsi="Tahoma" w:cs="Tahoma"/>
          <w:sz w:val="20"/>
          <w:szCs w:val="20"/>
        </w:rPr>
        <w:t xml:space="preserve"> en sesión de fecha 2</w:t>
      </w:r>
      <w:r w:rsidR="00B373A9">
        <w:rPr>
          <w:rFonts w:ascii="Tahoma" w:hAnsi="Tahoma" w:cs="Tahoma"/>
          <w:sz w:val="20"/>
          <w:szCs w:val="20"/>
        </w:rPr>
        <w:t>5</w:t>
      </w:r>
      <w:r w:rsidRPr="007231F5">
        <w:rPr>
          <w:rFonts w:ascii="Tahoma" w:hAnsi="Tahoma" w:cs="Tahoma"/>
          <w:sz w:val="20"/>
          <w:szCs w:val="20"/>
        </w:rPr>
        <w:t xml:space="preserve"> de febrero de 2011 de la Primera Sala del Tribunal de Contrataciones del Estado el Expediente № 1</w:t>
      </w:r>
      <w:r w:rsidR="00B373A9">
        <w:rPr>
          <w:rFonts w:ascii="Tahoma" w:hAnsi="Tahoma" w:cs="Tahoma"/>
          <w:sz w:val="20"/>
          <w:szCs w:val="20"/>
        </w:rPr>
        <w:t>340</w:t>
      </w:r>
      <w:r w:rsidRPr="007231F5">
        <w:rPr>
          <w:rFonts w:ascii="Tahoma" w:hAnsi="Tahoma" w:cs="Tahoma"/>
          <w:sz w:val="20"/>
          <w:szCs w:val="20"/>
        </w:rPr>
        <w:t xml:space="preserve">/2010.TC, sobre el procedimiento administrativo sancionador contra </w:t>
      </w:r>
      <w:r w:rsidR="00B373A9" w:rsidRPr="007231F5">
        <w:rPr>
          <w:rFonts w:ascii="Tahoma" w:hAnsi="Tahoma" w:cs="Tahoma"/>
          <w:sz w:val="20"/>
          <w:szCs w:val="20"/>
          <w:lang w:val="es-PE"/>
        </w:rPr>
        <w:t>la empresa Constructora y Consultora Andina S.A.C.</w:t>
      </w:r>
      <w:r w:rsidRPr="007231F5">
        <w:rPr>
          <w:rFonts w:ascii="Tahoma" w:hAnsi="Tahoma" w:cs="Tahoma"/>
          <w:sz w:val="20"/>
          <w:szCs w:val="20"/>
        </w:rPr>
        <w:t xml:space="preserve">, por  </w:t>
      </w:r>
      <w:r w:rsidR="00B373A9">
        <w:rPr>
          <w:rFonts w:ascii="Tahoma" w:hAnsi="Tahoma" w:cs="Tahoma"/>
          <w:sz w:val="20"/>
          <w:szCs w:val="20"/>
        </w:rPr>
        <w:t>haber presentado documentos falsos y/o información inexacta durante su trámite de inscripción como ejecutor de obras ante el Registro Nacional de Proveedores y</w:t>
      </w:r>
      <w:r w:rsidRPr="007231F5">
        <w:rPr>
          <w:rFonts w:ascii="Tahoma" w:hAnsi="Tahoma" w:cs="Tahoma"/>
          <w:sz w:val="20"/>
          <w:szCs w:val="20"/>
        </w:rPr>
        <w:t xml:space="preserve">, atendiendo a los siguientes:   </w:t>
      </w:r>
    </w:p>
    <w:p w:rsidR="007231F5" w:rsidRPr="007231F5" w:rsidRDefault="007231F5" w:rsidP="00250FE9">
      <w:pPr>
        <w:spacing w:after="0" w:line="240" w:lineRule="auto"/>
        <w:ind w:right="45"/>
        <w:jc w:val="both"/>
        <w:rPr>
          <w:rFonts w:ascii="Tahoma" w:hAnsi="Tahoma" w:cs="Tahoma"/>
          <w:sz w:val="20"/>
          <w:szCs w:val="20"/>
        </w:rPr>
      </w:pPr>
    </w:p>
    <w:p w:rsidR="007231F5" w:rsidRPr="007231F5" w:rsidRDefault="007231F5" w:rsidP="00250FE9">
      <w:pPr>
        <w:pStyle w:val="Ttulo2"/>
        <w:jc w:val="both"/>
        <w:rPr>
          <w:rFonts w:cs="Tahoma"/>
          <w:sz w:val="20"/>
        </w:rPr>
      </w:pPr>
      <w:r w:rsidRPr="007231F5">
        <w:rPr>
          <w:rFonts w:cs="Tahoma"/>
          <w:sz w:val="20"/>
        </w:rPr>
        <w:t>ANTECEDENTES:</w:t>
      </w:r>
    </w:p>
    <w:p w:rsidR="00250FE9" w:rsidRDefault="00250FE9" w:rsidP="00250FE9">
      <w:pPr>
        <w:pStyle w:val="NormalWeb"/>
        <w:tabs>
          <w:tab w:val="num" w:pos="900"/>
        </w:tabs>
        <w:spacing w:before="0" w:beforeAutospacing="0" w:after="0" w:afterAutospacing="0"/>
        <w:ind w:left="36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El 24 de julio de 2008</w:t>
      </w:r>
      <w:r w:rsidRPr="007231F5">
        <w:rPr>
          <w:rFonts w:ascii="Tahoma" w:hAnsi="Tahoma" w:cs="Tahoma"/>
          <w:sz w:val="20"/>
          <w:szCs w:val="20"/>
          <w:lang w:val="es-PE"/>
        </w:rPr>
        <w:t xml:space="preserve">, el Sr. Mario Edgar Villavicencio Herrera representante legal de la empresa Constructora y Consultora Andina S.A.C., en lo sucesivo el Ejecutor, solicitó su inscripción como Ejecutor de obras ante el Registro Nacional de Proveedores, en lo sucesivo </w:t>
      </w:r>
      <w:smartTag w:uri="urn:schemas-microsoft-com:office:smarttags" w:element="PersonName">
        <w:smartTagPr>
          <w:attr w:name="ProductID" w:val="la Entidad"/>
        </w:smartTagPr>
        <w:r w:rsidRPr="007231F5">
          <w:rPr>
            <w:rFonts w:ascii="Tahoma" w:hAnsi="Tahoma" w:cs="Tahoma"/>
            <w:sz w:val="20"/>
            <w:szCs w:val="20"/>
            <w:lang w:val="es-PE"/>
          </w:rPr>
          <w:t>la Entidad</w:t>
        </w:r>
      </w:smartTag>
      <w:r w:rsidRPr="007231F5">
        <w:rPr>
          <w:rFonts w:ascii="Tahoma" w:hAnsi="Tahoma" w:cs="Tahoma"/>
          <w:sz w:val="20"/>
          <w:szCs w:val="20"/>
          <w:lang w:val="es-PE"/>
        </w:rPr>
        <w:t xml:space="preserve"> (RNP), la que fue aprobada mediante Resolución de </w:t>
      </w:r>
      <w:smartTag w:uri="urn:schemas-microsoft-com:office:smarttags" w:element="PersonName">
        <w:smartTagPr>
          <w:attr w:name="ProductID" w:val="la Subdirecci￳n"/>
        </w:smartTagPr>
        <w:r w:rsidRPr="007231F5">
          <w:rPr>
            <w:rFonts w:ascii="Tahoma" w:hAnsi="Tahoma" w:cs="Tahoma"/>
            <w:sz w:val="20"/>
            <w:szCs w:val="20"/>
            <w:lang w:val="es-PE"/>
          </w:rPr>
          <w:t>la Subdirección</w:t>
        </w:r>
      </w:smartTag>
      <w:r w:rsidRPr="007231F5">
        <w:rPr>
          <w:rFonts w:ascii="Tahoma" w:hAnsi="Tahoma" w:cs="Tahoma"/>
          <w:sz w:val="20"/>
          <w:szCs w:val="20"/>
          <w:lang w:val="es-PE"/>
        </w:rPr>
        <w:t xml:space="preserve"> de Registro Nº 7888/2008-CONSUCODE/SRNP del 26 de agosto de 2008, expidiéndosele el certificado de inscripción N.º4162 de fecha 26 de agosto de 2008, con vigencia hasta el 26 de agosto de 2009.</w:t>
      </w:r>
    </w:p>
    <w:p w:rsidR="007231F5" w:rsidRPr="007231F5" w:rsidRDefault="007231F5" w:rsidP="00250FE9">
      <w:pPr>
        <w:pStyle w:val="NormalWeb"/>
        <w:tabs>
          <w:tab w:val="num" w:pos="900"/>
        </w:tabs>
        <w:spacing w:before="0" w:beforeAutospacing="0" w:after="0" w:afterAutospacing="0"/>
        <w:ind w:left="36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De conformidad con lo establecido en el artículo 32º de </w:t>
      </w:r>
      <w:smartTag w:uri="urn:schemas-microsoft-com:office:smarttags" w:element="PersonName">
        <w:smartTagPr>
          <w:attr w:name="ProductID" w:val="la Ley"/>
        </w:smartTagPr>
        <w:r w:rsidRPr="007231F5">
          <w:rPr>
            <w:rFonts w:ascii="Tahoma" w:hAnsi="Tahoma" w:cs="Tahoma"/>
            <w:sz w:val="20"/>
            <w:szCs w:val="20"/>
          </w:rPr>
          <w:t>la Ley</w:t>
        </w:r>
      </w:smartTag>
      <w:r w:rsidRPr="007231F5">
        <w:rPr>
          <w:rFonts w:ascii="Tahoma" w:hAnsi="Tahoma" w:cs="Tahoma"/>
          <w:sz w:val="20"/>
          <w:szCs w:val="20"/>
        </w:rPr>
        <w:t xml:space="preserve"> 27444- Ley de Procedimiento Administrativo General, </w:t>
      </w:r>
      <w:smartTag w:uri="urn:schemas-microsoft-com:office:smarttags" w:element="PersonName">
        <w:smartTagPr>
          <w:attr w:name="ProductID" w:val="la Subdirecci￳n"/>
        </w:smartTagPr>
        <w:r w:rsidRPr="007231F5">
          <w:rPr>
            <w:rFonts w:ascii="Tahoma" w:hAnsi="Tahoma" w:cs="Tahoma"/>
            <w:sz w:val="20"/>
            <w:szCs w:val="20"/>
          </w:rPr>
          <w:t>la Subdirección</w:t>
        </w:r>
      </w:smartTag>
      <w:r w:rsidRPr="007231F5">
        <w:rPr>
          <w:rFonts w:ascii="Tahoma" w:hAnsi="Tahoma" w:cs="Tahoma"/>
          <w:sz w:val="20"/>
          <w:szCs w:val="20"/>
        </w:rPr>
        <w:t xml:space="preserve"> del Registro Nacional de Proveedores dispuso iniciar la fiscalización posterior a la documentación presentada por la empresa</w:t>
      </w:r>
      <w:r w:rsidRPr="007231F5">
        <w:rPr>
          <w:rFonts w:ascii="Tahoma" w:hAnsi="Tahoma" w:cs="Tahoma"/>
          <w:sz w:val="20"/>
          <w:szCs w:val="20"/>
          <w:lang w:val="es-PE"/>
        </w:rPr>
        <w:t xml:space="preserve"> Constructora y Consultora Andina S.A.C.</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Mediante Oficio N.º 4112-2009-OSCEE/DSFE/SFIS.KC de fecha 31 de agosto de 2009, se solicitó al Ingeniero Oscar Fernando Jara Vergaray, entre otros, informar por escrito si se encontraba laborando como miembro del plantel técnico de la empresa</w:t>
      </w:r>
      <w:r w:rsidRPr="007231F5">
        <w:rPr>
          <w:rFonts w:ascii="Tahoma" w:hAnsi="Tahoma" w:cs="Tahoma"/>
          <w:sz w:val="20"/>
          <w:szCs w:val="20"/>
          <w:lang w:val="es-PE"/>
        </w:rPr>
        <w:t xml:space="preserve"> Constructora y Consultora Andina S.A.C., asimismo se le solicitó</w:t>
      </w:r>
      <w:r w:rsidRPr="007231F5">
        <w:rPr>
          <w:rFonts w:ascii="Tahoma" w:hAnsi="Tahoma" w:cs="Tahoma"/>
          <w:sz w:val="20"/>
          <w:szCs w:val="20"/>
        </w:rPr>
        <w:t xml:space="preserve"> brindar su conformidad al contenido y firma consignadas en </w:t>
      </w:r>
      <w:smartTag w:uri="urn:schemas-microsoft-com:office:smarttags" w:element="PersonName">
        <w:smartTagPr>
          <w:attr w:name="ProductID" w:val="la Declaraci￳n Jurada"/>
        </w:smartTagPr>
        <w:r w:rsidRPr="007231F5">
          <w:rPr>
            <w:rFonts w:ascii="Tahoma" w:hAnsi="Tahoma" w:cs="Tahoma"/>
            <w:sz w:val="20"/>
            <w:szCs w:val="20"/>
          </w:rPr>
          <w:t>la Declaración Jurada</w:t>
        </w:r>
      </w:smartTag>
      <w:r w:rsidRPr="007231F5">
        <w:rPr>
          <w:rFonts w:ascii="Tahoma" w:hAnsi="Tahoma" w:cs="Tahoma"/>
          <w:sz w:val="20"/>
          <w:szCs w:val="20"/>
        </w:rPr>
        <w:t xml:space="preserve"> de Integrantes del Plantel Técnico y en el Contrato de Trabajo a Plazo indefinido celebrado el 10.07.2008, documentos presentados por la citada empresa a fin de acreditar capacidad técnica.</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Mediante copia de </w:t>
      </w:r>
      <w:smartTag w:uri="urn:schemas-microsoft-com:office:smarttags" w:element="PersonName">
        <w:smartTagPr>
          <w:attr w:name="ProductID" w:val="la Carta N"/>
        </w:smartTagPr>
        <w:r w:rsidRPr="007231F5">
          <w:rPr>
            <w:rFonts w:ascii="Tahoma" w:hAnsi="Tahoma" w:cs="Tahoma"/>
            <w:sz w:val="20"/>
            <w:szCs w:val="20"/>
          </w:rPr>
          <w:t>la Carta N</w:t>
        </w:r>
      </w:smartTag>
      <w:r w:rsidRPr="007231F5">
        <w:rPr>
          <w:rFonts w:ascii="Tahoma" w:hAnsi="Tahoma" w:cs="Tahoma"/>
          <w:sz w:val="20"/>
          <w:szCs w:val="20"/>
        </w:rPr>
        <w:t xml:space="preserve">º 035/OFJV/CONSULTOR de fecha 04 de septiembre de 2009, recibida en la misma fecha, el Ingeniero Oscar Fernando Jara Vergaray manifestó, entre otros aspectos, que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7231F5">
            <w:rPr>
              <w:rFonts w:ascii="Tahoma" w:hAnsi="Tahoma" w:cs="Tahoma"/>
              <w:sz w:val="20"/>
              <w:szCs w:val="20"/>
            </w:rPr>
            <w:t>la Declaración</w:t>
          </w:r>
        </w:smartTag>
        <w:r w:rsidRPr="007231F5">
          <w:rPr>
            <w:rFonts w:ascii="Tahoma" w:hAnsi="Tahoma" w:cs="Tahoma"/>
            <w:sz w:val="20"/>
            <w:szCs w:val="20"/>
          </w:rPr>
          <w:t xml:space="preserve"> Jurada</w:t>
        </w:r>
      </w:smartTag>
      <w:r w:rsidRPr="007231F5">
        <w:rPr>
          <w:rFonts w:ascii="Tahoma" w:hAnsi="Tahoma" w:cs="Tahoma"/>
          <w:sz w:val="20"/>
          <w:szCs w:val="20"/>
        </w:rPr>
        <w:t xml:space="preserve"> de Integrantes de Plantel Técnico y el Contrato de Trabajo de fecha 10.07.2008, nunca fueron firmados por su persona.</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Mediante Oficio Nº 4362-2009-OSCE-DSF/SFIS.HL de fecha 09 de septiembre de 2009, recibido con fecha 11.09.2009, se solicitó al Ingeniero Oscar Jara Vergaray remita, a este Organismo, la información proporcionada mediante Carta Nº 035/OFJV/CONSULTOR de fecha </w:t>
      </w:r>
      <w:r w:rsidRPr="007231F5">
        <w:rPr>
          <w:rFonts w:ascii="Tahoma" w:hAnsi="Tahoma" w:cs="Tahoma"/>
          <w:sz w:val="20"/>
          <w:szCs w:val="20"/>
        </w:rPr>
        <w:lastRenderedPageBreak/>
        <w:t>04 de septiembre de 2009; a su vez reenvíe dicho documento debidamente legalizado por Notario Público.</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Mediante Carta Notarial Nº 036/OFJV/CONSULTOR de fecha 15 de septiembre de 2009, recibida el 17 de septiembre de 2009, el Ingeniero Oscar Fernando Jara Vergaray, se reafirma en su respuesta brindada a través de la copia de la carta Nº 035 de fecha 04.09.2009.</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En mérito a la comunicación hecha por el Ingeniero y en aplicación del Principio de Verdad Material, previsto en el numeral 1.11 del artículo IV del Título Preliminar de </w:t>
      </w:r>
      <w:smartTag w:uri="urn:schemas-microsoft-com:office:smarttags" w:element="PersonName">
        <w:smartTagPr>
          <w:attr w:name="ProductID" w:val="la Ley"/>
        </w:smartTagPr>
        <w:r w:rsidRPr="007231F5">
          <w:rPr>
            <w:rFonts w:ascii="Tahoma" w:hAnsi="Tahoma" w:cs="Tahoma"/>
            <w:sz w:val="20"/>
            <w:szCs w:val="20"/>
          </w:rPr>
          <w:t>la Ley</w:t>
        </w:r>
      </w:smartTag>
      <w:r w:rsidRPr="007231F5">
        <w:rPr>
          <w:rFonts w:ascii="Tahoma" w:hAnsi="Tahoma" w:cs="Tahoma"/>
          <w:sz w:val="20"/>
          <w:szCs w:val="20"/>
        </w:rPr>
        <w:t xml:space="preserve"> 27444, se dispuso la realización de una pericia grafotécnica sobre las firmas del Ingeniero Oscar Fernando Jara Vergaray, consignados en los documentos antes citados.</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Con fecha 29 de octubre de 2009, fue emitido el Dictamen Pericial Grafotécnico en el que se concluyen que las firmas que se encuentran trazadas en </w:t>
      </w:r>
      <w:smartTag w:uri="urn:schemas-microsoft-com:office:smarttags" w:element="PersonName">
        <w:smartTagPr>
          <w:attr w:name="ProductID" w:val="la Declaraci￳n Jurada"/>
        </w:smartTagPr>
        <w:r w:rsidRPr="007231F5">
          <w:rPr>
            <w:rFonts w:ascii="Tahoma" w:hAnsi="Tahoma" w:cs="Tahoma"/>
            <w:sz w:val="20"/>
            <w:szCs w:val="20"/>
          </w:rPr>
          <w:t>la Declaración Jurada</w:t>
        </w:r>
      </w:smartTag>
      <w:r w:rsidRPr="007231F5">
        <w:rPr>
          <w:rFonts w:ascii="Tahoma" w:hAnsi="Tahoma" w:cs="Tahoma"/>
          <w:sz w:val="20"/>
          <w:szCs w:val="20"/>
        </w:rPr>
        <w:t xml:space="preserve"> de Integrantes de Plantel Técnico y en el Contrato de Trabajo a Plazo Indefinido de fecha 10.07.2008, que se le atribuyen al Ingeniero Oscar Fernando Jara Vergaray no provienen de su puño gráfico, es decir son firmas falsas en la modalidad de imitación servil.</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Mediante Resolución N.º 204-2009-OSCE/DSE  de fecha 16 de diciembre de 2009, se resolvió declarar la nulidad de </w:t>
      </w:r>
      <w:smartTag w:uri="urn:schemas-microsoft-com:office:smarttags" w:element="PersonName">
        <w:smartTagPr>
          <w:attr w:name="ProductID" w:val="la Resoluci￳n"/>
        </w:smartTagPr>
        <w:r w:rsidRPr="007231F5">
          <w:rPr>
            <w:rFonts w:ascii="Tahoma" w:hAnsi="Tahoma" w:cs="Tahoma"/>
            <w:sz w:val="20"/>
            <w:szCs w:val="20"/>
          </w:rPr>
          <w:t>la Resolución</w:t>
        </w:r>
      </w:smartTag>
      <w:r w:rsidRPr="007231F5">
        <w:rPr>
          <w:rFonts w:ascii="Tahoma" w:hAnsi="Tahoma" w:cs="Tahoma"/>
          <w:sz w:val="20"/>
          <w:szCs w:val="20"/>
        </w:rPr>
        <w:t xml:space="preserve"> de Subdirección N.º 7888-2008-CONSUCODE/SRNP, que aprobó la inscripción del Contratista como Ejecutor de obras ante </w:t>
      </w:r>
      <w:smartTag w:uri="urn:schemas-microsoft-com:office:smarttags" w:element="PersonName">
        <w:smartTagPr>
          <w:attr w:name="ProductID" w:val="la Entidad"/>
        </w:smartTagPr>
        <w:r w:rsidRPr="007231F5">
          <w:rPr>
            <w:rFonts w:ascii="Tahoma" w:hAnsi="Tahoma" w:cs="Tahoma"/>
            <w:sz w:val="20"/>
            <w:szCs w:val="20"/>
          </w:rPr>
          <w:t>la Entidad</w:t>
        </w:r>
      </w:smartTag>
      <w:r w:rsidRPr="007231F5">
        <w:rPr>
          <w:rFonts w:ascii="Tahoma" w:hAnsi="Tahoma" w:cs="Tahoma"/>
          <w:sz w:val="20"/>
          <w:szCs w:val="20"/>
        </w:rPr>
        <w:t>, y poner en conocimiento del Tribunal de Contrataciones y Adquisiciones del Estado los hechos acaecidos.</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Mediante Oficio Nº 0238-2009-OSCE/DS de fecha 16 de diciembre de 2009,  se notificó </w:t>
      </w:r>
      <w:smartTag w:uri="urn:schemas-microsoft-com:office:smarttags" w:element="PersonName">
        <w:smartTagPr>
          <w:attr w:name="ProductID" w:val="la Resoluci￳n"/>
        </w:smartTagPr>
        <w:r w:rsidRPr="007231F5">
          <w:rPr>
            <w:rFonts w:ascii="Tahoma" w:hAnsi="Tahoma" w:cs="Tahoma"/>
            <w:sz w:val="20"/>
            <w:szCs w:val="20"/>
          </w:rPr>
          <w:t>la Resolución</w:t>
        </w:r>
      </w:smartTag>
      <w:r w:rsidRPr="007231F5">
        <w:rPr>
          <w:rFonts w:ascii="Tahoma" w:hAnsi="Tahoma" w:cs="Tahoma"/>
          <w:sz w:val="20"/>
          <w:szCs w:val="20"/>
        </w:rPr>
        <w:t xml:space="preserve"> detallada líneas arriba a la empresa  Constructora y Consultora Andina S.A.C.</w:t>
      </w:r>
    </w:p>
    <w:p w:rsidR="007231F5" w:rsidRPr="007231F5" w:rsidRDefault="007231F5" w:rsidP="00250FE9">
      <w:pPr>
        <w:pStyle w:val="NormalWeb"/>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Con Memorando N.º 848-2010/DS-MSH de fecha 17 de septiembre de 2010, </w:t>
      </w:r>
      <w:smartTag w:uri="urn:schemas-microsoft-com:office:smarttags" w:element="PersonName">
        <w:smartTagPr>
          <w:attr w:name="ProductID" w:val="la Entidad"/>
        </w:smartTagPr>
        <w:r w:rsidRPr="007231F5">
          <w:rPr>
            <w:rFonts w:ascii="Tahoma" w:hAnsi="Tahoma" w:cs="Tahoma"/>
            <w:sz w:val="20"/>
            <w:szCs w:val="20"/>
          </w:rPr>
          <w:t>la Entidad</w:t>
        </w:r>
      </w:smartTag>
      <w:r w:rsidRPr="007231F5">
        <w:rPr>
          <w:rFonts w:ascii="Tahoma" w:hAnsi="Tahoma" w:cs="Tahoma"/>
          <w:sz w:val="20"/>
          <w:szCs w:val="20"/>
        </w:rPr>
        <w:t xml:space="preserve"> puso en conocimiento de este Tribunal los hechos antes descritos; y en función a ello, mediante Decreto de fecha 27 de septiembre de 2010, se dispuso el inicio del procedimiento administrativo sancionador contra la empresa consultora, por supuesta responsabilidad en la presentación de documentos falsos o inexactos durante la realización del trámite de Renovación de Inscripción como Ejecutor de Obras ante el Registro Nacional de Proveedores, infracción tipificada en el numeral 10) del artículo 294 del Reglamento, emplazando al contratista para que presente sus descargos en el plazo de diez (10) días, bajo apercibimiento de resolver con la documentación obrante en autos.</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Vista la razón expuesta por </w:t>
      </w:r>
      <w:smartTag w:uri="urn:schemas-microsoft-com:office:smarttags" w:element="PersonName">
        <w:smartTagPr>
          <w:attr w:name="ProductID" w:val="la Secretar￭a"/>
        </w:smartTagPr>
        <w:r w:rsidRPr="007231F5">
          <w:rPr>
            <w:rFonts w:ascii="Tahoma" w:hAnsi="Tahoma" w:cs="Tahoma"/>
            <w:sz w:val="20"/>
            <w:szCs w:val="20"/>
          </w:rPr>
          <w:t>la Secretaría</w:t>
        </w:r>
      </w:smartTag>
      <w:r w:rsidRPr="007231F5">
        <w:rPr>
          <w:rFonts w:ascii="Tahoma" w:hAnsi="Tahoma" w:cs="Tahoma"/>
          <w:sz w:val="20"/>
          <w:szCs w:val="20"/>
        </w:rPr>
        <w:t xml:space="preserve">, en el que da cuenta que </w:t>
      </w:r>
      <w:smartTag w:uri="urn:schemas-microsoft-com:office:smarttags" w:element="PersonName">
        <w:smartTagPr>
          <w:attr w:name="ProductID" w:val="la C￩dula"/>
        </w:smartTagPr>
        <w:r w:rsidRPr="007231F5">
          <w:rPr>
            <w:rFonts w:ascii="Tahoma" w:hAnsi="Tahoma" w:cs="Tahoma"/>
            <w:sz w:val="20"/>
            <w:szCs w:val="20"/>
          </w:rPr>
          <w:t>la Cédula</w:t>
        </w:r>
      </w:smartTag>
      <w:r w:rsidRPr="007231F5">
        <w:rPr>
          <w:rFonts w:ascii="Tahoma" w:hAnsi="Tahoma" w:cs="Tahoma"/>
          <w:sz w:val="20"/>
          <w:szCs w:val="20"/>
        </w:rPr>
        <w:t xml:space="preserve"> de Notificación Nº 30493/2010.TC que comunica el decreto de fecha 27.09.2010, cursada a </w:t>
      </w:r>
      <w:smartTag w:uri="urn:schemas-microsoft-com:office:smarttags" w:element="PersonName">
        <w:smartTagPr>
          <w:attr w:name="ProductID" w:val="la Contratista"/>
        </w:smartTagPr>
        <w:r w:rsidRPr="007231F5">
          <w:rPr>
            <w:rFonts w:ascii="Tahoma" w:hAnsi="Tahoma" w:cs="Tahoma"/>
            <w:sz w:val="20"/>
            <w:szCs w:val="20"/>
          </w:rPr>
          <w:t>la Contratista</w:t>
        </w:r>
      </w:smartTag>
      <w:r w:rsidRPr="007231F5">
        <w:rPr>
          <w:rFonts w:ascii="Tahoma" w:hAnsi="Tahoma" w:cs="Tahoma"/>
          <w:sz w:val="20"/>
          <w:szCs w:val="20"/>
        </w:rPr>
        <w:t>, ha sido devuelta por el servicio de mensajería SERPOST S.A. según informe de devolución de fecha 04.01.2011, manifestando que al acercarse a la dirección sito en Urb. El Mirador Shancayan Mz. E. Lt.6 Ancash/ Huaraz, se consignó “ausente” , por tal motivo, el Tribunal luego de efectuar la búsqueda de otro domicilio cierto del supuesto infractor, da cuenta que no se ha podido ubicar otro domicilio cierto, y a fin de que la citada empresa tome conocimiento del decreto de fecha 27.09.2010 y asegurarle el legítimo derecho de defensa, se dispuso se notifique vía publicación en el Diario Oficial el Peruano.</w:t>
      </w:r>
    </w:p>
    <w:p w:rsidR="007231F5" w:rsidRPr="007231F5" w:rsidRDefault="007231F5" w:rsidP="00250FE9">
      <w:pPr>
        <w:pStyle w:val="NormalWeb"/>
        <w:tabs>
          <w:tab w:val="num" w:pos="900"/>
        </w:tabs>
        <w:spacing w:before="0" w:beforeAutospacing="0" w:after="0" w:afterAutospacing="0"/>
        <w:jc w:val="both"/>
        <w:rPr>
          <w:rFonts w:ascii="Tahoma" w:hAnsi="Tahoma" w:cs="Tahoma"/>
          <w:sz w:val="20"/>
          <w:szCs w:val="20"/>
        </w:rPr>
      </w:pPr>
    </w:p>
    <w:p w:rsidR="007231F5" w:rsidRPr="007231F5" w:rsidRDefault="007231F5" w:rsidP="00250FE9">
      <w:pPr>
        <w:pStyle w:val="NormalWeb"/>
        <w:numPr>
          <w:ilvl w:val="0"/>
          <w:numId w:val="6"/>
        </w:numPr>
        <w:tabs>
          <w:tab w:val="num" w:pos="900"/>
        </w:tabs>
        <w:spacing w:before="0" w:beforeAutospacing="0" w:after="0" w:afterAutospacing="0"/>
        <w:jc w:val="both"/>
        <w:rPr>
          <w:rFonts w:ascii="Tahoma" w:hAnsi="Tahoma" w:cs="Tahoma"/>
          <w:sz w:val="20"/>
          <w:szCs w:val="20"/>
        </w:rPr>
      </w:pPr>
      <w:r w:rsidRPr="007231F5">
        <w:rPr>
          <w:rFonts w:ascii="Tahoma" w:hAnsi="Tahoma" w:cs="Tahoma"/>
          <w:sz w:val="20"/>
          <w:szCs w:val="20"/>
        </w:rPr>
        <w:t xml:space="preserve">Vista la razón expuesta por la secretaría, no habiendo cumplido la empresa contratista con presentar sus descargos; y considerando que mediante Resolución Nº 103-2011-OSCE/PRE de fecha 15.02.2011 publicada en el Diario Oficial el Peruano el 16.02.2011, se dispuso la reconformación de las Salas del Tribunal, designándose a los Presidentes y Vocales </w:t>
      </w:r>
      <w:r w:rsidRPr="007231F5">
        <w:rPr>
          <w:rFonts w:ascii="Tahoma" w:hAnsi="Tahoma" w:cs="Tahoma"/>
          <w:sz w:val="20"/>
          <w:szCs w:val="20"/>
        </w:rPr>
        <w:lastRenderedPageBreak/>
        <w:t>confortantes, y teniendo en consideración que obra en autos los antecedentes administrativos, se dispuso por</w:t>
      </w:r>
      <w:r w:rsidRPr="007231F5">
        <w:rPr>
          <w:rFonts w:ascii="Tahoma" w:hAnsi="Tahoma" w:cs="Tahoma"/>
          <w:sz w:val="20"/>
          <w:szCs w:val="20"/>
          <w:lang w:val="es-PE"/>
        </w:rPr>
        <w:t xml:space="preserve"> decreto de fecha 17 de febrero de 2011, hacer efectivo el apercibimiento y remitir el expediente a </w:t>
      </w:r>
      <w:smartTag w:uri="urn:schemas-microsoft-com:office:smarttags" w:element="PersonName">
        <w:smartTagPr>
          <w:attr w:name="ProductID" w:val="LA PRIMERA SALA"/>
        </w:smartTagPr>
        <w:r w:rsidRPr="007231F5">
          <w:rPr>
            <w:rFonts w:ascii="Tahoma" w:hAnsi="Tahoma" w:cs="Tahoma"/>
            <w:sz w:val="20"/>
            <w:szCs w:val="20"/>
            <w:lang w:val="es-PE"/>
          </w:rPr>
          <w:t>la Primera Sala</w:t>
        </w:r>
      </w:smartTag>
      <w:r w:rsidRPr="007231F5">
        <w:rPr>
          <w:rFonts w:ascii="Tahoma" w:hAnsi="Tahoma" w:cs="Tahoma"/>
          <w:sz w:val="20"/>
          <w:szCs w:val="20"/>
          <w:lang w:val="es-PE"/>
        </w:rPr>
        <w:t xml:space="preserve"> del Tribunal, </w:t>
      </w:r>
      <w:r w:rsidRPr="007231F5">
        <w:rPr>
          <w:rFonts w:ascii="Tahoma" w:hAnsi="Tahoma" w:cs="Tahoma"/>
          <w:sz w:val="20"/>
          <w:szCs w:val="20"/>
        </w:rPr>
        <w:t xml:space="preserve"> para que resuelva.</w:t>
      </w:r>
    </w:p>
    <w:p w:rsidR="007231F5" w:rsidRPr="007231F5" w:rsidRDefault="007231F5" w:rsidP="00250FE9">
      <w:pPr>
        <w:pStyle w:val="Prrafodelista"/>
        <w:ind w:left="567"/>
        <w:jc w:val="both"/>
        <w:rPr>
          <w:rFonts w:ascii="Tahoma" w:hAnsi="Tahoma" w:cs="Tahoma"/>
          <w:sz w:val="20"/>
          <w:lang w:val="es-ES"/>
        </w:rPr>
      </w:pPr>
    </w:p>
    <w:p w:rsidR="007231F5" w:rsidRPr="007231F5" w:rsidRDefault="007231F5" w:rsidP="00250FE9">
      <w:pPr>
        <w:tabs>
          <w:tab w:val="num" w:pos="9720"/>
        </w:tabs>
        <w:spacing w:after="0" w:line="240" w:lineRule="auto"/>
        <w:jc w:val="both"/>
        <w:rPr>
          <w:rFonts w:ascii="Tahoma" w:hAnsi="Tahoma" w:cs="Tahoma"/>
          <w:b/>
          <w:sz w:val="20"/>
          <w:szCs w:val="20"/>
        </w:rPr>
      </w:pPr>
      <w:r w:rsidRPr="007231F5">
        <w:rPr>
          <w:rFonts w:ascii="Tahoma" w:hAnsi="Tahoma" w:cs="Tahoma"/>
          <w:b/>
          <w:sz w:val="20"/>
          <w:szCs w:val="20"/>
        </w:rPr>
        <w:t>FUNDAMENTACIÓN:</w:t>
      </w:r>
    </w:p>
    <w:p w:rsidR="00250FE9" w:rsidRDefault="00250FE9" w:rsidP="00250FE9">
      <w:pPr>
        <w:spacing w:line="240" w:lineRule="auto"/>
        <w:rPr>
          <w:rFonts w:ascii="Tahoma" w:hAnsi="Tahoma" w:cs="Tahoma"/>
          <w:b/>
          <w:bCs/>
          <w:sz w:val="20"/>
          <w:szCs w:val="20"/>
          <w:u w:val="single"/>
        </w:rPr>
      </w:pPr>
    </w:p>
    <w:p w:rsidR="007231F5" w:rsidRPr="007231F5" w:rsidRDefault="007231F5" w:rsidP="00250FE9">
      <w:pPr>
        <w:spacing w:line="240" w:lineRule="auto"/>
        <w:rPr>
          <w:rFonts w:ascii="Tahoma" w:hAnsi="Tahoma" w:cs="Tahoma"/>
          <w:b/>
          <w:bCs/>
          <w:sz w:val="20"/>
          <w:szCs w:val="20"/>
        </w:rPr>
      </w:pPr>
      <w:r w:rsidRPr="007231F5">
        <w:rPr>
          <w:rFonts w:ascii="Tahoma" w:hAnsi="Tahoma" w:cs="Tahoma"/>
          <w:b/>
          <w:bCs/>
          <w:sz w:val="20"/>
          <w:szCs w:val="20"/>
          <w:u w:val="single"/>
        </w:rPr>
        <w:t xml:space="preserve">De </w:t>
      </w:r>
      <w:smartTag w:uri="urn:schemas-microsoft-com:office:smarttags" w:element="PersonName">
        <w:smartTagPr>
          <w:attr w:name="ProductID" w:val="la Competencia"/>
        </w:smartTagPr>
        <w:r w:rsidRPr="007231F5">
          <w:rPr>
            <w:rFonts w:ascii="Tahoma" w:hAnsi="Tahoma" w:cs="Tahoma"/>
            <w:b/>
            <w:bCs/>
            <w:sz w:val="20"/>
            <w:szCs w:val="20"/>
            <w:u w:val="single"/>
          </w:rPr>
          <w:t>la Competencia</w:t>
        </w:r>
      </w:smartTag>
      <w:r w:rsidRPr="007231F5">
        <w:rPr>
          <w:rFonts w:ascii="Tahoma" w:hAnsi="Tahoma" w:cs="Tahoma"/>
          <w:b/>
          <w:bCs/>
          <w:sz w:val="20"/>
          <w:szCs w:val="20"/>
          <w:u w:val="single"/>
        </w:rPr>
        <w:t xml:space="preserve"> del Tribunal de Contrataciones del Estado</w:t>
      </w: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7231F5">
        <w:rPr>
          <w:rFonts w:ascii="Tahoma" w:hAnsi="Tahoma" w:cs="Tahoma"/>
          <w:sz w:val="20"/>
          <w:szCs w:val="20"/>
        </w:rPr>
        <w:t xml:space="preserve">El numeral 1 del artículo 235 de </w:t>
      </w:r>
      <w:smartTag w:uri="urn:schemas-microsoft-com:office:smarttags" w:element="PersonName">
        <w:smartTagPr>
          <w:attr w:name="ProductID" w:val="la Ley"/>
        </w:smartTagPr>
        <w:r w:rsidRPr="007231F5">
          <w:rPr>
            <w:rFonts w:ascii="Tahoma" w:hAnsi="Tahoma" w:cs="Tahoma"/>
            <w:sz w:val="20"/>
            <w:szCs w:val="20"/>
          </w:rPr>
          <w:t>la Ley</w:t>
        </w:r>
      </w:smartTag>
      <w:r w:rsidRPr="007231F5">
        <w:rPr>
          <w:rFonts w:ascii="Tahoma" w:hAnsi="Tahoma" w:cs="Tahoma"/>
          <w:sz w:val="20"/>
          <w:szCs w:val="20"/>
        </w:rPr>
        <w:t xml:space="preserve">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250FE9" w:rsidRDefault="00250FE9" w:rsidP="00250FE9">
      <w:pPr>
        <w:spacing w:after="0" w:line="240" w:lineRule="auto"/>
        <w:ind w:left="426"/>
        <w:jc w:val="both"/>
        <w:rPr>
          <w:rFonts w:ascii="Tahoma" w:hAnsi="Tahoma" w:cs="Tahoma"/>
          <w:sz w:val="20"/>
          <w:szCs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 xml:space="preserve">En ese sentido, el Tribunal de Contrataciones del Estado es el órgano que tiene a su cargo el conocimiento y resolución de procedimientos de imposición de sanción de inhabilitación temporal o definitiva y económicas,  a que se contraen el artículo  y 52º de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 Texto Único Ordenado de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de Contrataciones y Adquisiciones del Estado), a los proveedores, participantes, postores, contratistas y entidades, según corresponda, por infracciones a las disposiciones contenidas en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y el presente Reglamento.</w:t>
      </w:r>
    </w:p>
    <w:p w:rsidR="00250FE9" w:rsidRDefault="00250FE9" w:rsidP="00250FE9">
      <w:pPr>
        <w:spacing w:line="240" w:lineRule="auto"/>
        <w:jc w:val="both"/>
        <w:rPr>
          <w:rFonts w:ascii="Tahoma" w:hAnsi="Tahoma" w:cs="Tahoma"/>
          <w:b/>
          <w:sz w:val="20"/>
          <w:szCs w:val="20"/>
          <w:u w:val="single"/>
          <w:lang w:val="es-MX"/>
        </w:rPr>
      </w:pPr>
    </w:p>
    <w:p w:rsidR="00250FE9" w:rsidRPr="00250FE9" w:rsidRDefault="00250FE9" w:rsidP="00250FE9">
      <w:pPr>
        <w:spacing w:line="240" w:lineRule="auto"/>
        <w:jc w:val="both"/>
        <w:rPr>
          <w:rFonts w:ascii="Tahoma" w:hAnsi="Tahoma" w:cs="Tahoma"/>
          <w:b/>
          <w:sz w:val="20"/>
          <w:szCs w:val="20"/>
          <w:u w:val="single"/>
          <w:lang w:val="es-MX"/>
        </w:rPr>
      </w:pPr>
      <w:r w:rsidRPr="00250FE9">
        <w:rPr>
          <w:rFonts w:ascii="Tahoma" w:hAnsi="Tahoma" w:cs="Tahoma"/>
          <w:b/>
          <w:sz w:val="20"/>
          <w:szCs w:val="20"/>
          <w:u w:val="single"/>
          <w:lang w:val="es-MX"/>
        </w:rPr>
        <w:t>Del procedimiento Sancionador</w:t>
      </w: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lang w:val="es-MX"/>
        </w:rPr>
        <w:t xml:space="preserve">El presente caso está referido a la supuesta responsabilidad de la empresa por la presentación de documentos falsos durante </w:t>
      </w:r>
      <w:r w:rsidRPr="00250FE9">
        <w:rPr>
          <w:rFonts w:ascii="Tahoma" w:hAnsi="Tahoma" w:cs="Tahoma"/>
          <w:sz w:val="20"/>
          <w:szCs w:val="20"/>
        </w:rPr>
        <w:t>la realización del trámite de Renovación de Inscripción como Ejecutor de obras ante el Registro Nacional de Proveedores</w:t>
      </w:r>
      <w:r w:rsidRPr="00250FE9">
        <w:rPr>
          <w:rFonts w:ascii="Tahoma" w:hAnsi="Tahoma" w:cs="Tahoma"/>
          <w:sz w:val="20"/>
          <w:szCs w:val="20"/>
          <w:lang w:val="es-MX"/>
        </w:rPr>
        <w:t xml:space="preserve">, </w:t>
      </w:r>
      <w:r w:rsidRPr="00250FE9">
        <w:rPr>
          <w:rFonts w:ascii="Tahoma" w:hAnsi="Tahoma" w:cs="Tahoma"/>
          <w:sz w:val="20"/>
          <w:szCs w:val="20"/>
        </w:rPr>
        <w:t>infracción tipificada en el numeral 10) del artículo 294</w:t>
      </w:r>
      <w:r w:rsidRPr="007231F5">
        <w:rPr>
          <w:rStyle w:val="Refdenotaalpie"/>
          <w:rFonts w:ascii="Tahoma" w:hAnsi="Tahoma" w:cs="Tahoma"/>
          <w:sz w:val="20"/>
          <w:szCs w:val="20"/>
        </w:rPr>
        <w:footnoteReference w:id="2"/>
      </w:r>
      <w:r w:rsidRPr="00250FE9">
        <w:rPr>
          <w:rFonts w:ascii="Tahoma" w:hAnsi="Tahoma" w:cs="Tahoma"/>
          <w:sz w:val="20"/>
          <w:szCs w:val="20"/>
        </w:rPr>
        <w:t xml:space="preserve"> del Reglamento de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de Contrataciones y Adquisiciones del Estado, aprobado por Decreto Supremo N.° 084-2004-PCM, en adelante el Reglamento.</w:t>
      </w:r>
    </w:p>
    <w:p w:rsidR="00250FE9" w:rsidRDefault="00250FE9" w:rsidP="00250FE9">
      <w:pPr>
        <w:spacing w:after="0" w:line="240" w:lineRule="auto"/>
        <w:ind w:left="426"/>
        <w:jc w:val="both"/>
        <w:rPr>
          <w:rFonts w:ascii="Tahoma" w:hAnsi="Tahoma" w:cs="Tahoma"/>
          <w:sz w:val="20"/>
          <w:szCs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 xml:space="preserve">Asimismo, de acuerdo con el </w:t>
      </w:r>
      <w:r w:rsidRPr="00250FE9">
        <w:rPr>
          <w:rFonts w:ascii="Tahoma" w:hAnsi="Tahoma" w:cs="Tahoma"/>
          <w:i/>
          <w:iCs/>
          <w:sz w:val="20"/>
          <w:szCs w:val="20"/>
        </w:rPr>
        <w:t>principio de irrectroactividad</w:t>
      </w:r>
      <w:r w:rsidRPr="00250FE9">
        <w:rPr>
          <w:rFonts w:ascii="Tahoma" w:hAnsi="Tahoma" w:cs="Tahoma"/>
          <w:sz w:val="20"/>
          <w:szCs w:val="20"/>
        </w:rPr>
        <w:t xml:space="preserve"> consagrada en el inciso 5) del artículo 230 de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27444, Ley de Procedimiento Administrativo General, son aplicables las disposiciones sancionatorias vigentes al momento en que el administrado hubiera incurrido en la conducta a sancionar</w:t>
      </w:r>
      <w:r w:rsidRPr="007231F5">
        <w:rPr>
          <w:rStyle w:val="Refdenotaalpie"/>
          <w:rFonts w:ascii="Tahoma" w:hAnsi="Tahoma" w:cs="Tahoma"/>
          <w:sz w:val="20"/>
          <w:szCs w:val="20"/>
        </w:rPr>
        <w:footnoteReference w:id="3"/>
      </w:r>
      <w:r w:rsidRPr="00250FE9">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lastRenderedPageBreak/>
        <w:t>Al respecto, la infracción imputada al Ejecutor  corresponde a la señalada en el numeral 10) del artículo 294 del Reglamento.</w:t>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lang w:val="es-MX"/>
        </w:rPr>
        <w:t xml:space="preserve">Para </w:t>
      </w:r>
      <w:r w:rsidRPr="00250FE9">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250FE9">
        <w:rPr>
          <w:rFonts w:ascii="Tahoma" w:hAnsi="Tahoma" w:cs="Tahoma"/>
          <w:i/>
          <w:sz w:val="20"/>
          <w:szCs w:val="20"/>
        </w:rPr>
        <w:t>Principios de Moralidad</w:t>
      </w:r>
      <w:r w:rsidRPr="00250FE9">
        <w:rPr>
          <w:rFonts w:ascii="Tahoma" w:hAnsi="Tahoma" w:cs="Tahoma"/>
          <w:sz w:val="20"/>
          <w:szCs w:val="20"/>
        </w:rPr>
        <w:t xml:space="preserve"> y de </w:t>
      </w:r>
      <w:r w:rsidRPr="00250FE9">
        <w:rPr>
          <w:rFonts w:ascii="Tahoma" w:hAnsi="Tahoma" w:cs="Tahoma"/>
          <w:i/>
          <w:sz w:val="20"/>
          <w:szCs w:val="20"/>
        </w:rPr>
        <w:t>Presunción de Veracidad</w:t>
      </w:r>
      <w:r w:rsidRPr="00250FE9">
        <w:rPr>
          <w:rFonts w:ascii="Tahoma" w:hAnsi="Tahoma" w:cs="Tahoma"/>
          <w:sz w:val="20"/>
          <w:szCs w:val="20"/>
        </w:rPr>
        <w:t xml:space="preserve">, de conformidad con lo establecido en el inciso 1) del artículo 3 del Texto Único Ordenado de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de Contrataciones y Adquisiciones del Estado, aprobado por Decreto Supremo N.° 083-2004-PCM, en lo sucesivo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en concordancia con lo dispuesto en el numeral 1.7 del Artículo IV del Título Preliminar y el numeral 42.1 del artículo 42 de </w:t>
      </w:r>
      <w:smartTag w:uri="urn:schemas-microsoft-com:office:smarttags" w:element="PersonName">
        <w:smartTagPr>
          <w:attr w:name="ProductID" w:val="la Ley"/>
        </w:smartTagPr>
        <w:r w:rsidRPr="00250FE9">
          <w:rPr>
            <w:rFonts w:ascii="Tahoma" w:hAnsi="Tahoma" w:cs="Tahoma"/>
            <w:sz w:val="20"/>
            <w:szCs w:val="20"/>
          </w:rPr>
          <w:t>la Ley</w:t>
        </w:r>
      </w:smartTag>
      <w:r w:rsidRPr="00250FE9">
        <w:rPr>
          <w:rFonts w:ascii="Tahoma" w:hAnsi="Tahoma" w:cs="Tahoma"/>
          <w:sz w:val="20"/>
          <w:szCs w:val="20"/>
        </w:rPr>
        <w:t xml:space="preserve"> del Procedimiento Administrativo General, Ley N.° 27444.</w:t>
      </w:r>
    </w:p>
    <w:p w:rsidR="00250FE9" w:rsidRDefault="00250FE9" w:rsidP="00250FE9">
      <w:pPr>
        <w:pStyle w:val="Prrafodelista"/>
        <w:rPr>
          <w:rFonts w:ascii="Tahoma" w:hAnsi="Tahoma" w:cs="Tahoma"/>
          <w:sz w:val="20"/>
          <w:lang w:val="es-MX"/>
        </w:rPr>
      </w:pPr>
    </w:p>
    <w:p w:rsidR="00250FE9" w:rsidRPr="007231F5" w:rsidRDefault="00250FE9" w:rsidP="00250FE9">
      <w:pPr>
        <w:pStyle w:val="ListParagraph1"/>
        <w:ind w:left="0"/>
        <w:rPr>
          <w:rFonts w:ascii="Tahoma" w:hAnsi="Tahoma" w:cs="Tahoma"/>
          <w:b/>
          <w:sz w:val="20"/>
          <w:szCs w:val="20"/>
          <w:u w:val="single"/>
        </w:rPr>
      </w:pPr>
      <w:r w:rsidRPr="007231F5">
        <w:rPr>
          <w:rFonts w:ascii="Tahoma" w:hAnsi="Tahoma" w:cs="Tahoma"/>
          <w:b/>
          <w:sz w:val="20"/>
          <w:szCs w:val="20"/>
          <w:u w:val="single"/>
        </w:rPr>
        <w:t>Análisis de los hechos materia de denuncia</w:t>
      </w:r>
    </w:p>
    <w:p w:rsidR="00250FE9" w:rsidRPr="00250FE9" w:rsidRDefault="00250FE9" w:rsidP="00250FE9">
      <w:pPr>
        <w:spacing w:after="0" w:line="240" w:lineRule="auto"/>
        <w:ind w:left="426"/>
        <w:jc w:val="both"/>
        <w:rPr>
          <w:rFonts w:ascii="Tahoma" w:hAnsi="Tahoma" w:cs="Tahoma"/>
          <w:sz w:val="20"/>
          <w:szCs w:val="20"/>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 xml:space="preserve">En el caso que nos ocupa, la imputación contra el Ejecutor se refiere a la supuesta falsedad de </w:t>
      </w:r>
      <w:smartTag w:uri="urn:schemas-microsoft-com:office:smarttags" w:element="PersonName">
        <w:smartTagPr>
          <w:attr w:name="ProductID" w:val="la Declaraci￳n Jurada"/>
        </w:smartTagPr>
        <w:r w:rsidRPr="00250FE9">
          <w:rPr>
            <w:rFonts w:ascii="Tahoma" w:hAnsi="Tahoma" w:cs="Tahoma"/>
            <w:sz w:val="20"/>
            <w:szCs w:val="20"/>
          </w:rPr>
          <w:t>la Declaración Jurada</w:t>
        </w:r>
      </w:smartTag>
      <w:r w:rsidRPr="00250FE9">
        <w:rPr>
          <w:rFonts w:ascii="Tahoma" w:hAnsi="Tahoma" w:cs="Tahoma"/>
          <w:sz w:val="20"/>
          <w:szCs w:val="20"/>
        </w:rPr>
        <w:t xml:space="preserve"> de Integrantes del Plantel Técnico y el Contrato de Trabajo a Plazo Indeterminado celebrado el 10.07.2008 documentos presentados por el Ejecutor a fin de acreditar su capacidad técnica.</w:t>
      </w:r>
    </w:p>
    <w:p w:rsidR="00250FE9" w:rsidRPr="00250FE9" w:rsidRDefault="00250FE9" w:rsidP="00250FE9">
      <w:pPr>
        <w:spacing w:after="0" w:line="240" w:lineRule="auto"/>
        <w:ind w:left="426"/>
        <w:jc w:val="both"/>
        <w:rPr>
          <w:rFonts w:ascii="Tahoma" w:hAnsi="Tahoma" w:cs="Tahoma"/>
          <w:sz w:val="20"/>
          <w:szCs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 xml:space="preserve">En aplicación del </w:t>
      </w:r>
      <w:r w:rsidRPr="00250FE9">
        <w:rPr>
          <w:rFonts w:ascii="Tahoma" w:hAnsi="Tahoma" w:cs="Tahoma"/>
          <w:i/>
          <w:sz w:val="20"/>
          <w:szCs w:val="20"/>
        </w:rPr>
        <w:t xml:space="preserve">Principio de Privilegio de Controles Posteriores, </w:t>
      </w:r>
      <w:r w:rsidRPr="00250FE9">
        <w:rPr>
          <w:rFonts w:ascii="Tahoma" w:hAnsi="Tahoma" w:cs="Tahoma"/>
          <w:sz w:val="20"/>
          <w:szCs w:val="20"/>
        </w:rPr>
        <w:t xml:space="preserve">contemplado en el numeral 1.16 del Artículo IV del Título Preliminar de </w:t>
      </w:r>
      <w:smartTag w:uri="urn:schemas-microsoft-com:office:smarttags" w:element="PersonName">
        <w:smartTagPr>
          <w:attr w:name="ProductID" w:val="la Ley N.ﾰ"/>
        </w:smartTagPr>
        <w:r w:rsidRPr="00250FE9">
          <w:rPr>
            <w:rFonts w:ascii="Tahoma" w:hAnsi="Tahoma" w:cs="Tahoma"/>
            <w:sz w:val="20"/>
            <w:szCs w:val="20"/>
          </w:rPr>
          <w:t>la Ley N.°</w:t>
        </w:r>
      </w:smartTag>
      <w:r w:rsidRPr="00250FE9">
        <w:rPr>
          <w:rFonts w:ascii="Tahoma" w:hAnsi="Tahoma" w:cs="Tahoma"/>
          <w:sz w:val="20"/>
          <w:szCs w:val="20"/>
        </w:rPr>
        <w:t xml:space="preserve"> 27444</w:t>
      </w:r>
      <w:r w:rsidRPr="007231F5">
        <w:rPr>
          <w:rStyle w:val="Refdenotaalpie"/>
          <w:rFonts w:ascii="Tahoma" w:hAnsi="Tahoma" w:cs="Tahoma"/>
          <w:sz w:val="20"/>
          <w:szCs w:val="20"/>
        </w:rPr>
        <w:footnoteReference w:id="4"/>
      </w:r>
      <w:r w:rsidRPr="00250FE9">
        <w:rPr>
          <w:rFonts w:ascii="Tahoma" w:hAnsi="Tahoma" w:cs="Tahoma"/>
          <w:sz w:val="20"/>
          <w:szCs w:val="20"/>
        </w:rPr>
        <w:t xml:space="preserve">,  </w:t>
      </w:r>
      <w:smartTag w:uri="urn:schemas-microsoft-com:office:smarttags" w:element="PersonName">
        <w:smartTagPr>
          <w:attr w:name="ProductID" w:val="la Entidad"/>
        </w:smartTagPr>
        <w:r w:rsidRPr="00250FE9">
          <w:rPr>
            <w:rFonts w:ascii="Tahoma" w:hAnsi="Tahoma" w:cs="Tahoma"/>
            <w:sz w:val="20"/>
            <w:szCs w:val="20"/>
          </w:rPr>
          <w:t>la Entidad</w:t>
        </w:r>
      </w:smartTag>
      <w:r w:rsidRPr="00250FE9">
        <w:rPr>
          <w:rFonts w:ascii="Tahoma" w:hAnsi="Tahoma" w:cs="Tahoma"/>
          <w:sz w:val="20"/>
          <w:szCs w:val="20"/>
        </w:rPr>
        <w:t xml:space="preserve"> solicitó al Ingeniero OSCAR FERNANDO JARA VERGARAY, brinde su conformidad al contenido y firma de </w:t>
      </w:r>
      <w:smartTag w:uri="urn:schemas-microsoft-com:office:smarttags" w:element="PersonName">
        <w:smartTagPr>
          <w:attr w:name="ProductID" w:val="la Declaraci￳n Jurada"/>
        </w:smartTagPr>
        <w:r w:rsidRPr="00250FE9">
          <w:rPr>
            <w:rFonts w:ascii="Tahoma" w:hAnsi="Tahoma" w:cs="Tahoma"/>
            <w:sz w:val="20"/>
            <w:szCs w:val="20"/>
          </w:rPr>
          <w:t>la Declaración Jurada</w:t>
        </w:r>
      </w:smartTag>
      <w:r w:rsidRPr="00250FE9">
        <w:rPr>
          <w:rFonts w:ascii="Tahoma" w:hAnsi="Tahoma" w:cs="Tahoma"/>
          <w:sz w:val="20"/>
          <w:szCs w:val="20"/>
        </w:rPr>
        <w:t xml:space="preserve"> de Integrantes del Plantel Técnico, así como del Contrato de Trabajo a Plazo Indeterminado suscrito en fecha 10.07.2008., documentos presentados durante la renovación de su inscripción realizada en el Capitulo de Ejecutores de Obra.</w:t>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En atención a dicho requerimiento, con Carta Notarial Nº 036/OFJV/CONSULTOR de fecha 15 de septiembre de 2009, el Ingeniero Oscar Fernando Jara Vergaray, manifestó entre otras cosas que, dichos documentos - declaración jurada de integrantes de plantel técnico y contrato de trabajo de fecha 10.07.2008 – nunca fueron firmados por su persona”.</w:t>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bCs/>
          <w:sz w:val="20"/>
          <w:szCs w:val="20"/>
        </w:rPr>
        <w:t xml:space="preserve">Dicha aseveración emitida por el supuesto emisor, mediante la cual negó haber suscrito </w:t>
      </w:r>
      <w:smartTag w:uri="urn:schemas-microsoft-com:office:smarttags" w:element="PersonName">
        <w:smartTagPr>
          <w:attr w:name="ProductID" w:val="la Declaraci￳n Jurada"/>
        </w:smartTagPr>
        <w:r w:rsidRPr="00250FE9">
          <w:rPr>
            <w:rFonts w:ascii="Tahoma" w:hAnsi="Tahoma" w:cs="Tahoma"/>
            <w:bCs/>
            <w:sz w:val="20"/>
            <w:szCs w:val="20"/>
          </w:rPr>
          <w:t>la Declaración Jurada</w:t>
        </w:r>
      </w:smartTag>
      <w:r w:rsidRPr="00250FE9">
        <w:rPr>
          <w:rFonts w:ascii="Tahoma" w:hAnsi="Tahoma" w:cs="Tahoma"/>
          <w:bCs/>
          <w:sz w:val="20"/>
          <w:szCs w:val="20"/>
        </w:rPr>
        <w:t xml:space="preserve"> de integrantes del Plantel Técnico y el Contrato de Trabajo a Plazo Indefinido del 10.07.2008,  constituye prueba suficiente que permite desvirtuar el principio de Presunción de Veracidad que rige a los procedimientos administrativos, criterio que ha sido adoptado en reiterados pronunciamientos de este Tribunal.</w:t>
      </w:r>
      <w:r w:rsidRPr="007231F5">
        <w:rPr>
          <w:rStyle w:val="Refdenotaalpie"/>
          <w:rFonts w:ascii="Tahoma" w:hAnsi="Tahoma" w:cs="Tahoma"/>
          <w:bCs/>
          <w:sz w:val="20"/>
          <w:szCs w:val="20"/>
        </w:rPr>
        <w:footnoteReference w:id="5"/>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 xml:space="preserve">No obstante lo señalado en el párrafo anterior, </w:t>
      </w:r>
      <w:smartTag w:uri="urn:schemas-microsoft-com:office:smarttags" w:element="PersonName">
        <w:smartTagPr>
          <w:attr w:name="ProductID" w:val="la Entidad"/>
        </w:smartTagPr>
        <w:r w:rsidRPr="00250FE9">
          <w:rPr>
            <w:rFonts w:ascii="Tahoma" w:hAnsi="Tahoma" w:cs="Tahoma"/>
            <w:sz w:val="20"/>
            <w:szCs w:val="20"/>
          </w:rPr>
          <w:t>la Entidad</w:t>
        </w:r>
      </w:smartTag>
      <w:r w:rsidRPr="00250FE9">
        <w:rPr>
          <w:rFonts w:ascii="Tahoma" w:hAnsi="Tahoma" w:cs="Tahoma"/>
          <w:sz w:val="20"/>
          <w:szCs w:val="20"/>
        </w:rPr>
        <w:t xml:space="preserve">, en busca de la </w:t>
      </w:r>
      <w:r w:rsidRPr="00250FE9">
        <w:rPr>
          <w:rFonts w:ascii="Tahoma" w:hAnsi="Tahoma" w:cs="Tahoma"/>
          <w:i/>
          <w:sz w:val="20"/>
          <w:szCs w:val="20"/>
        </w:rPr>
        <w:t xml:space="preserve">verdad material previsto en el numeral 1.11 del artículo IV del Título Preliminar de </w:t>
      </w:r>
      <w:smartTag w:uri="urn:schemas-microsoft-com:office:smarttags" w:element="PersonName">
        <w:smartTagPr>
          <w:attr w:name="ProductID" w:val="la Ley"/>
        </w:smartTagPr>
        <w:r w:rsidRPr="00250FE9">
          <w:rPr>
            <w:rFonts w:ascii="Tahoma" w:hAnsi="Tahoma" w:cs="Tahoma"/>
            <w:i/>
            <w:sz w:val="20"/>
            <w:szCs w:val="20"/>
          </w:rPr>
          <w:t>la Ley</w:t>
        </w:r>
      </w:smartTag>
      <w:r w:rsidRPr="00250FE9">
        <w:rPr>
          <w:rFonts w:ascii="Tahoma" w:hAnsi="Tahoma" w:cs="Tahoma"/>
          <w:i/>
          <w:sz w:val="20"/>
          <w:szCs w:val="20"/>
        </w:rPr>
        <w:t xml:space="preserve"> 27444</w:t>
      </w:r>
      <w:r w:rsidRPr="00250FE9">
        <w:rPr>
          <w:rFonts w:ascii="Tahoma" w:hAnsi="Tahoma" w:cs="Tahoma"/>
          <w:sz w:val="20"/>
          <w:szCs w:val="20"/>
        </w:rPr>
        <w:t>,  a fin verificar plenamente los hechos que sirven de motivo a sus decisiones, dispuso la realización de una prueba técnica, consistente en una Pericia Grafotécnica sobre las supuestas firmas del Ingeniero Oscar Fernando Jara Vergaray.</w:t>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 xml:space="preserve">Así, Mediante Dictamen Pericial Grafotécnico de fecha 29 de octubre de 2009 emitido por el Perito Judicial José Víctor Villa Rojas, quién ha tomado como muestra la firma auténtica contenida en </w:t>
      </w:r>
      <w:smartTag w:uri="urn:schemas-microsoft-com:office:smarttags" w:element="PersonName">
        <w:smartTagPr>
          <w:attr w:name="ProductID" w:val="la Carta Notarial"/>
        </w:smartTagPr>
        <w:r w:rsidRPr="00250FE9">
          <w:rPr>
            <w:rFonts w:ascii="Tahoma" w:hAnsi="Tahoma" w:cs="Tahoma"/>
            <w:sz w:val="20"/>
            <w:szCs w:val="20"/>
          </w:rPr>
          <w:t>la Carta Notarial</w:t>
        </w:r>
      </w:smartTag>
      <w:r w:rsidRPr="00250FE9">
        <w:rPr>
          <w:rFonts w:ascii="Tahoma" w:hAnsi="Tahoma" w:cs="Tahoma"/>
          <w:sz w:val="20"/>
          <w:szCs w:val="20"/>
        </w:rPr>
        <w:t xml:space="preserve"> del 15 de septiembre de 2009, concluye que las firmas que se encuentran trazadas en </w:t>
      </w:r>
      <w:smartTag w:uri="urn:schemas-microsoft-com:office:smarttags" w:element="PersonName">
        <w:smartTagPr>
          <w:attr w:name="ProductID" w:val="la Declaraci￳n Jurada"/>
        </w:smartTagPr>
        <w:r w:rsidRPr="00250FE9">
          <w:rPr>
            <w:rFonts w:ascii="Tahoma" w:hAnsi="Tahoma" w:cs="Tahoma"/>
            <w:sz w:val="20"/>
            <w:szCs w:val="20"/>
          </w:rPr>
          <w:t>la Declaración Jurada</w:t>
        </w:r>
      </w:smartTag>
      <w:r w:rsidRPr="00250FE9">
        <w:rPr>
          <w:rFonts w:ascii="Tahoma" w:hAnsi="Tahoma" w:cs="Tahoma"/>
          <w:sz w:val="20"/>
          <w:szCs w:val="20"/>
        </w:rPr>
        <w:t xml:space="preserve"> de Integrantes de Plantel Técnico y en el Contrato de Trabajo a Plazo Indeterminado de fecha 10.07.2008, que se le atribuyen al cita profesional, </w:t>
      </w:r>
      <w:r w:rsidRPr="00250FE9">
        <w:rPr>
          <w:rFonts w:ascii="Tahoma" w:hAnsi="Tahoma" w:cs="Tahoma"/>
          <w:b/>
          <w:sz w:val="20"/>
          <w:szCs w:val="20"/>
        </w:rPr>
        <w:t>no provienen de su puño gráfico, es decir son firmas falsas en la modalidad de imitación servil.</w:t>
      </w:r>
    </w:p>
    <w:p w:rsidR="00250FE9" w:rsidRDefault="00250FE9" w:rsidP="00250FE9">
      <w:pPr>
        <w:pStyle w:val="Prrafodelista"/>
        <w:rPr>
          <w:rFonts w:ascii="Tahoma" w:hAnsi="Tahoma" w:cs="Tahoma"/>
          <w:sz w:val="20"/>
          <w:lang w:val="es-MX"/>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lang w:val="es-MX"/>
        </w:rPr>
      </w:pPr>
      <w:r w:rsidRPr="00250FE9">
        <w:rPr>
          <w:rFonts w:ascii="Tahoma" w:hAnsi="Tahoma" w:cs="Tahoma"/>
          <w:sz w:val="20"/>
          <w:szCs w:val="20"/>
        </w:rPr>
        <w:t>Respecto de los hechos imputados, el Ejecutor no ha cumplido con formular sus descargos, no obstante, haber sido debidamente notificado mediante Publicación en el Diario Oficial el Peruano el 27.01.2011, según cargo que obra a folios Nº 56 y 57.</w:t>
      </w:r>
    </w:p>
    <w:p w:rsidR="00250FE9" w:rsidRDefault="00250FE9" w:rsidP="00250FE9">
      <w:pPr>
        <w:pStyle w:val="Prrafodelista"/>
        <w:rPr>
          <w:rFonts w:ascii="Tahoma" w:hAnsi="Tahoma" w:cs="Tahoma"/>
          <w:sz w:val="20"/>
          <w:lang w:val="es-MX"/>
        </w:rPr>
      </w:pPr>
    </w:p>
    <w:p w:rsidR="007231F5"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 xml:space="preserve">Conforme a lo expuesto en los párrafos precedentes, en virtud del </w:t>
      </w:r>
      <w:r w:rsidRPr="00250FE9">
        <w:rPr>
          <w:rFonts w:ascii="Tahoma" w:hAnsi="Tahoma" w:cs="Tahoma"/>
          <w:i/>
          <w:sz w:val="20"/>
          <w:szCs w:val="20"/>
        </w:rPr>
        <w:t>principio de apreciación conjunta de las pruebas</w:t>
      </w:r>
      <w:r w:rsidRPr="00250FE9">
        <w:rPr>
          <w:rFonts w:ascii="Tahoma" w:hAnsi="Tahoma" w:cs="Tahoma"/>
          <w:sz w:val="20"/>
          <w:szCs w:val="20"/>
        </w:rPr>
        <w:t xml:space="preserve">, proporcionadas en el desarrollo del presente procedimiento, así como de la apreciación razonada de las mismas, resulta válido colegir en este caso en concreto, que los documentos cuestionados son falsos, </w:t>
      </w:r>
      <w:r w:rsidRPr="00250FE9">
        <w:rPr>
          <w:rFonts w:ascii="Tahoma" w:hAnsi="Tahoma" w:cs="Tahoma"/>
          <w:sz w:val="20"/>
          <w:szCs w:val="20"/>
          <w:u w:val="single"/>
        </w:rPr>
        <w:t>en tanto el supuesto agente suscriptor ahí declarado, ha desconocido haberlos firmados</w:t>
      </w:r>
      <w:r w:rsidRPr="00250FE9">
        <w:rPr>
          <w:rFonts w:ascii="Tahoma" w:hAnsi="Tahoma" w:cs="Tahoma"/>
          <w:sz w:val="20"/>
          <w:szCs w:val="20"/>
        </w:rPr>
        <w:t xml:space="preserve">. </w:t>
      </w:r>
    </w:p>
    <w:p w:rsidR="00250FE9" w:rsidRDefault="00250FE9" w:rsidP="00250FE9">
      <w:pPr>
        <w:pStyle w:val="Prrafodelista"/>
        <w:rPr>
          <w:rFonts w:ascii="Tahoma" w:hAnsi="Tahoma" w:cs="Tahoma"/>
          <w:sz w:val="20"/>
        </w:rPr>
      </w:pPr>
    </w:p>
    <w:p w:rsidR="007231F5"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 xml:space="preserve">Asimismo, abona a dicha conclusión las resultas de la pericia grafotécnica, toda vez que el referido dictamen se realizó sobre la base de documentos originales y sobre muestras practicadas del puño gráfico del Ingeniero Oscar Jara Vergaray, en concordancia con la jurisprudencia emitida por </w:t>
      </w:r>
      <w:smartTag w:uri="urn:schemas-microsoft-com:office:smarttags" w:element="PersonName">
        <w:smartTagPr>
          <w:attr w:name="ProductID" w:val="la Corte Suprema"/>
        </w:smartTagPr>
        <w:r w:rsidRPr="00250FE9">
          <w:rPr>
            <w:rFonts w:ascii="Tahoma" w:hAnsi="Tahoma" w:cs="Tahoma"/>
            <w:sz w:val="20"/>
            <w:szCs w:val="20"/>
          </w:rPr>
          <w:t>la Corte Suprema</w:t>
        </w:r>
      </w:smartTag>
      <w:r w:rsidRPr="00250FE9">
        <w:rPr>
          <w:rFonts w:ascii="Tahoma" w:hAnsi="Tahoma" w:cs="Tahoma"/>
          <w:sz w:val="20"/>
          <w:szCs w:val="20"/>
        </w:rPr>
        <w:t xml:space="preserve"> de Justicia</w:t>
      </w:r>
      <w:r w:rsidRPr="007231F5">
        <w:rPr>
          <w:rFonts w:ascii="Tahoma" w:hAnsi="Tahoma" w:cs="Tahoma"/>
          <w:sz w:val="20"/>
          <w:szCs w:val="20"/>
          <w:vertAlign w:val="superscript"/>
        </w:rPr>
        <w:footnoteReference w:id="6"/>
      </w:r>
      <w:r w:rsidRPr="00250FE9">
        <w:rPr>
          <w:rFonts w:ascii="Tahoma" w:hAnsi="Tahoma" w:cs="Tahoma"/>
          <w:sz w:val="20"/>
          <w:szCs w:val="20"/>
        </w:rPr>
        <w:t xml:space="preserve">, mediante la cual se establece de manera expresa que </w:t>
      </w:r>
      <w:r w:rsidRPr="00250FE9">
        <w:rPr>
          <w:rFonts w:ascii="Tahoma" w:hAnsi="Tahoma" w:cs="Tahoma"/>
          <w:b/>
          <w:sz w:val="20"/>
          <w:szCs w:val="20"/>
        </w:rPr>
        <w:t>las pericias grafotécnicas para que tengan valor probatorio se deben practicar en instrumentos originales, cuya exhibición debe ser ordenada por el juzgador, utilizando, de ser necesario, los apremios de ley</w:t>
      </w:r>
      <w:r w:rsidRPr="00250FE9">
        <w:rPr>
          <w:rFonts w:ascii="Tahoma" w:hAnsi="Tahoma" w:cs="Tahoma"/>
          <w:sz w:val="20"/>
          <w:szCs w:val="20"/>
        </w:rPr>
        <w:t>. (el resaltado es nuestro). En consecuencia, debe concluirse que la infracción se ha cometido y que el autor de la misma es el referido proveedor.</w:t>
      </w:r>
    </w:p>
    <w:p w:rsidR="00250FE9" w:rsidRDefault="00250FE9" w:rsidP="00250FE9">
      <w:pPr>
        <w:pStyle w:val="Prrafodelista"/>
        <w:rPr>
          <w:rFonts w:ascii="Tahoma" w:hAnsi="Tahoma" w:cs="Tahoma"/>
          <w:sz w:val="20"/>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lang w:val="es-PE"/>
        </w:rPr>
        <w:t xml:space="preserve">En efecto, </w:t>
      </w:r>
      <w:r w:rsidRPr="00250FE9">
        <w:rPr>
          <w:rFonts w:ascii="Tahoma" w:hAnsi="Tahoma" w:cs="Tahoma"/>
          <w:sz w:val="20"/>
          <w:szCs w:val="20"/>
        </w:rPr>
        <w:t xml:space="preserve">tanto </w:t>
      </w:r>
      <w:smartTag w:uri="urn:schemas-microsoft-com:office:smarttags" w:element="PersonName">
        <w:smartTagPr>
          <w:attr w:name="ProductID" w:val="la Ley N"/>
        </w:smartTagPr>
        <w:r w:rsidRPr="00250FE9">
          <w:rPr>
            <w:rFonts w:ascii="Tahoma" w:hAnsi="Tahoma" w:cs="Tahoma"/>
            <w:sz w:val="20"/>
            <w:szCs w:val="20"/>
          </w:rPr>
          <w:t>la Ley N</w:t>
        </w:r>
      </w:smartTag>
      <w:r w:rsidRPr="00250FE9">
        <w:rPr>
          <w:rFonts w:ascii="Tahoma" w:hAnsi="Tahoma" w:cs="Tahoma"/>
          <w:sz w:val="20"/>
          <w:szCs w:val="20"/>
        </w:rPr>
        <w:t>º 27444</w:t>
      </w:r>
      <w:r w:rsidRPr="007231F5">
        <w:rPr>
          <w:rFonts w:ascii="Tahoma" w:hAnsi="Tahoma" w:cs="Tahoma"/>
          <w:sz w:val="20"/>
          <w:szCs w:val="20"/>
          <w:vertAlign w:val="superscript"/>
        </w:rPr>
        <w:footnoteReference w:id="7"/>
      </w:r>
      <w:r w:rsidRPr="00250FE9">
        <w:rPr>
          <w:rFonts w:ascii="Tahoma" w:hAnsi="Tahoma" w:cs="Tahoma"/>
          <w:sz w:val="20"/>
          <w:szCs w:val="20"/>
        </w:rPr>
        <w:t>, como el Reglamento</w:t>
      </w:r>
      <w:r w:rsidRPr="007231F5">
        <w:rPr>
          <w:rFonts w:ascii="Tahoma" w:hAnsi="Tahoma" w:cs="Tahoma"/>
          <w:sz w:val="20"/>
          <w:szCs w:val="20"/>
          <w:vertAlign w:val="superscript"/>
        </w:rPr>
        <w:footnoteReference w:id="8"/>
      </w:r>
      <w:r w:rsidRPr="00250FE9">
        <w:rPr>
          <w:rFonts w:ascii="Tahoma" w:hAnsi="Tahoma" w:cs="Tahoma"/>
          <w:sz w:val="20"/>
          <w:szCs w:val="20"/>
        </w:rPr>
        <w:t xml:space="preserve"> han establecido que </w:t>
      </w:r>
      <w:r w:rsidRPr="00250FE9">
        <w:rPr>
          <w:rFonts w:ascii="Tahoma" w:hAnsi="Tahoma" w:cs="Tahoma"/>
          <w:b/>
          <w:sz w:val="20"/>
          <w:szCs w:val="20"/>
          <w:u w:val="single"/>
        </w:rPr>
        <w:t>la responsabilidad por la presentación de documentos falsos o inexactos corresponde al administrado que lo presentó en el trámite del procedimiento administrativo</w:t>
      </w:r>
      <w:r w:rsidRPr="00250FE9">
        <w:rPr>
          <w:rFonts w:ascii="Tahoma" w:hAnsi="Tahoma" w:cs="Tahoma"/>
          <w:sz w:val="20"/>
          <w:szCs w:val="20"/>
        </w:rPr>
        <w:t xml:space="preserve">. En el mismo sentido, el numeral 10 del artículo 294 del Reglamento considera autor de la infracción </w:t>
      </w:r>
      <w:r w:rsidRPr="00250FE9">
        <w:rPr>
          <w:rFonts w:ascii="Tahoma" w:hAnsi="Tahoma" w:cs="Tahoma"/>
          <w:b/>
          <w:sz w:val="20"/>
          <w:szCs w:val="20"/>
          <w:u w:val="single"/>
        </w:rPr>
        <w:t xml:space="preserve">al proveedor </w:t>
      </w:r>
      <w:r w:rsidRPr="00250FE9">
        <w:rPr>
          <w:rFonts w:ascii="Tahoma" w:hAnsi="Tahoma" w:cs="Tahoma"/>
          <w:sz w:val="20"/>
          <w:szCs w:val="20"/>
        </w:rPr>
        <w:t xml:space="preserve">que presenta </w:t>
      </w:r>
      <w:r w:rsidRPr="00250FE9">
        <w:rPr>
          <w:rFonts w:ascii="Tahoma" w:hAnsi="Tahoma" w:cs="Tahoma"/>
          <w:sz w:val="20"/>
          <w:szCs w:val="20"/>
          <w:lang w:val="es-PE"/>
        </w:rPr>
        <w:t>documentos falsos o inexactos</w:t>
      </w:r>
      <w:r w:rsidRPr="00250FE9">
        <w:rPr>
          <w:rFonts w:ascii="Tahoma" w:hAnsi="Tahoma" w:cs="Tahoma"/>
          <w:sz w:val="20"/>
          <w:szCs w:val="20"/>
        </w:rPr>
        <w:t xml:space="preserve"> al </w:t>
      </w:r>
      <w:r w:rsidRPr="00250FE9">
        <w:rPr>
          <w:rFonts w:ascii="Tahoma" w:hAnsi="Tahoma" w:cs="Tahoma"/>
          <w:sz w:val="20"/>
          <w:szCs w:val="20"/>
          <w:u w:val="single"/>
          <w:lang w:val="es-PE"/>
        </w:rPr>
        <w:t>Consucode (actualmente OSCE).</w:t>
      </w:r>
    </w:p>
    <w:p w:rsidR="00250FE9" w:rsidRDefault="00250FE9" w:rsidP="00250FE9">
      <w:pPr>
        <w:pStyle w:val="Prrafodelista"/>
        <w:rPr>
          <w:rFonts w:ascii="Tahoma" w:hAnsi="Tahoma" w:cs="Tahoma"/>
          <w:sz w:val="20"/>
        </w:rPr>
      </w:pPr>
    </w:p>
    <w:p w:rsidR="007231F5"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 xml:space="preserve">De lo señalado con anterioridad, se puede concluir que el contratista presentó documentos falsos, a efectos de formalizar su trámite de inscripción como Ejecutor de Obras ante el Registro Nacional de Proveedores, tal como se ha podido </w:t>
      </w:r>
      <w:r w:rsidRPr="00250FE9">
        <w:rPr>
          <w:rFonts w:ascii="Tahoma" w:hAnsi="Tahoma" w:cs="Tahoma"/>
          <w:sz w:val="20"/>
          <w:szCs w:val="20"/>
          <w:u w:val="single"/>
        </w:rPr>
        <w:t>constatar de la información proporcionada por el referido profesional</w:t>
      </w:r>
      <w:r w:rsidRPr="00250FE9">
        <w:rPr>
          <w:rFonts w:ascii="Tahoma" w:hAnsi="Tahoma" w:cs="Tahoma"/>
          <w:sz w:val="20"/>
          <w:szCs w:val="20"/>
        </w:rPr>
        <w:t xml:space="preserve">, así como de la </w:t>
      </w:r>
      <w:r w:rsidRPr="00250FE9">
        <w:rPr>
          <w:rFonts w:ascii="Tahoma" w:hAnsi="Tahoma" w:cs="Tahoma"/>
          <w:sz w:val="20"/>
          <w:szCs w:val="20"/>
          <w:u w:val="single"/>
        </w:rPr>
        <w:t>pericia grafotécnica practicada</w:t>
      </w:r>
      <w:r w:rsidRPr="00250FE9">
        <w:rPr>
          <w:rFonts w:ascii="Tahoma" w:hAnsi="Tahoma" w:cs="Tahoma"/>
          <w:sz w:val="20"/>
          <w:szCs w:val="20"/>
        </w:rPr>
        <w:t xml:space="preserve">; con lo cual, queda evidenciado, de todo lo anteriormente expresado, la </w:t>
      </w:r>
      <w:r w:rsidRPr="00250FE9">
        <w:rPr>
          <w:rFonts w:ascii="Tahoma" w:hAnsi="Tahoma" w:cs="Tahoma"/>
          <w:i/>
          <w:sz w:val="20"/>
          <w:szCs w:val="20"/>
        </w:rPr>
        <w:t>trasgresión al Principio de Presunción de Veracidad</w:t>
      </w:r>
      <w:r w:rsidRPr="00250FE9">
        <w:rPr>
          <w:rFonts w:ascii="Tahoma" w:hAnsi="Tahoma" w:cs="Tahoma"/>
          <w:sz w:val="20"/>
          <w:szCs w:val="20"/>
        </w:rPr>
        <w:t xml:space="preserve"> en la que incurrió la empresa Contratista.</w:t>
      </w:r>
    </w:p>
    <w:p w:rsidR="00250FE9" w:rsidRDefault="00250FE9" w:rsidP="00250FE9">
      <w:pPr>
        <w:pStyle w:val="Prrafodelista"/>
        <w:rPr>
          <w:rFonts w:ascii="Tahoma" w:hAnsi="Tahoma" w:cs="Tahoma"/>
          <w:sz w:val="20"/>
        </w:rPr>
      </w:pPr>
    </w:p>
    <w:p w:rsidR="007231F5"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Teniendo en cuenta las consideraciones expuestas, corresponde imponer sanción administrativa a la contratista, al haber  incurrido en la causal de infracción tipificada en el numeral 10) del artículo 294 del Reglamento.</w:t>
      </w:r>
    </w:p>
    <w:p w:rsidR="00250FE9" w:rsidRDefault="00250FE9" w:rsidP="00250FE9">
      <w:pPr>
        <w:pStyle w:val="Prrafodelista"/>
        <w:rPr>
          <w:rFonts w:ascii="Tahoma" w:hAnsi="Tahoma" w:cs="Tahoma"/>
          <w:sz w:val="20"/>
        </w:rPr>
      </w:pPr>
    </w:p>
    <w:p w:rsidR="007231F5"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lastRenderedPageBreak/>
        <w:t>En relación a la graduación de la sanción imponible, el artículo 294 del Reglamento establece que los postores que presente documentos falsos o inexactos serán sancionados con inhabilitación temporal para contratar con el Estado por un periodo no menor de tres (3) meses ni mayor de doce (12) meses.</w:t>
      </w:r>
    </w:p>
    <w:p w:rsidR="00250FE9" w:rsidRDefault="00250FE9" w:rsidP="00250FE9">
      <w:pPr>
        <w:pStyle w:val="Prrafodelista"/>
        <w:rPr>
          <w:rFonts w:ascii="Tahoma" w:hAnsi="Tahoma" w:cs="Tahoma"/>
          <w:sz w:val="20"/>
        </w:rPr>
      </w:pPr>
    </w:p>
    <w:p w:rsidR="007231F5"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 xml:space="preserve">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250FE9" w:rsidRDefault="00250FE9" w:rsidP="00250FE9">
      <w:pPr>
        <w:pStyle w:val="Prrafodelista"/>
        <w:rPr>
          <w:rFonts w:ascii="Tahoma" w:hAnsi="Tahoma" w:cs="Tahoma"/>
          <w:sz w:val="20"/>
        </w:rPr>
      </w:pPr>
    </w:p>
    <w:p w:rsidR="00250FE9" w:rsidRDefault="00250FE9" w:rsidP="00250FE9">
      <w:pPr>
        <w:pStyle w:val="ListParagraph1"/>
        <w:ind w:left="1080"/>
        <w:jc w:val="both"/>
        <w:rPr>
          <w:rFonts w:ascii="Tahoma" w:hAnsi="Tahoma" w:cs="Tahoma"/>
          <w:sz w:val="20"/>
          <w:szCs w:val="20"/>
        </w:rPr>
      </w:pPr>
    </w:p>
    <w:p w:rsidR="00250FE9" w:rsidRPr="007231F5" w:rsidRDefault="00250FE9" w:rsidP="00250FE9">
      <w:pPr>
        <w:pStyle w:val="ListParagraph1"/>
        <w:numPr>
          <w:ilvl w:val="0"/>
          <w:numId w:val="8"/>
        </w:numPr>
        <w:jc w:val="both"/>
        <w:rPr>
          <w:rFonts w:ascii="Tahoma" w:hAnsi="Tahoma" w:cs="Tahoma"/>
          <w:sz w:val="20"/>
          <w:szCs w:val="20"/>
        </w:rPr>
      </w:pPr>
      <w:r w:rsidRPr="007231F5">
        <w:rPr>
          <w:rFonts w:ascii="Tahoma" w:hAnsi="Tahoma" w:cs="Tahoma"/>
          <w:sz w:val="20"/>
          <w:szCs w:val="20"/>
        </w:rPr>
        <w:t xml:space="preserve">La infracción cometida reviste una considerable gravedad, debido a que vulnera el </w:t>
      </w:r>
      <w:r w:rsidRPr="007231F5">
        <w:rPr>
          <w:rFonts w:ascii="Tahoma" w:hAnsi="Tahoma" w:cs="Tahoma"/>
          <w:i/>
          <w:sz w:val="20"/>
          <w:szCs w:val="20"/>
        </w:rPr>
        <w:t xml:space="preserve">Principio de Moralidad </w:t>
      </w:r>
      <w:r w:rsidRPr="007231F5">
        <w:rPr>
          <w:rFonts w:ascii="Tahoma" w:hAnsi="Tahoma" w:cs="Tahoma"/>
          <w:sz w:val="20"/>
          <w:szCs w:val="20"/>
        </w:rPr>
        <w:t xml:space="preserve">que debe regir a todos los actos vinculados a las contrataciones públicas. Por lo demás, dicho principio, junto a la </w:t>
      </w:r>
      <w:r w:rsidRPr="007231F5">
        <w:rPr>
          <w:rFonts w:ascii="Tahoma" w:hAnsi="Tahoma" w:cs="Tahoma"/>
          <w:i/>
          <w:sz w:val="20"/>
          <w:szCs w:val="20"/>
        </w:rPr>
        <w:t>fe pública</w:t>
      </w:r>
      <w:r w:rsidRPr="007231F5">
        <w:rPr>
          <w:rFonts w:ascii="Tahoma" w:hAnsi="Tahoma" w:cs="Tahoma"/>
          <w:sz w:val="20"/>
          <w:szCs w:val="20"/>
        </w:rPr>
        <w:t xml:space="preserve">, constituyen bienes jurídicos merecedores de protección especial, pues constituyen los pilares de las relaciones suscitadas entre </w:t>
      </w:r>
      <w:smartTag w:uri="urn:schemas-microsoft-com:office:smarttags" w:element="PersonName">
        <w:smartTagPr>
          <w:attr w:name="ProductID" w:val="la Administraci￳n P￺blica"/>
        </w:smartTagPr>
        <w:r w:rsidRPr="007231F5">
          <w:rPr>
            <w:rFonts w:ascii="Tahoma" w:hAnsi="Tahoma" w:cs="Tahoma"/>
            <w:sz w:val="20"/>
            <w:szCs w:val="20"/>
          </w:rPr>
          <w:t>la Administración Pública</w:t>
        </w:r>
      </w:smartTag>
      <w:r w:rsidRPr="007231F5">
        <w:rPr>
          <w:rFonts w:ascii="Tahoma" w:hAnsi="Tahoma" w:cs="Tahoma"/>
          <w:sz w:val="20"/>
          <w:szCs w:val="20"/>
        </w:rPr>
        <w:t xml:space="preserve"> y los administrados.</w:t>
      </w:r>
    </w:p>
    <w:p w:rsidR="00250FE9" w:rsidRPr="007231F5" w:rsidRDefault="00250FE9" w:rsidP="00250FE9">
      <w:pPr>
        <w:pStyle w:val="ListParagraph1"/>
        <w:ind w:left="1080"/>
        <w:rPr>
          <w:rFonts w:ascii="Tahoma" w:hAnsi="Tahoma" w:cs="Tahoma"/>
          <w:sz w:val="20"/>
          <w:szCs w:val="20"/>
        </w:rPr>
      </w:pPr>
    </w:p>
    <w:p w:rsidR="00250FE9" w:rsidRPr="007231F5" w:rsidRDefault="00250FE9" w:rsidP="00250FE9">
      <w:pPr>
        <w:pStyle w:val="ListParagraph1"/>
        <w:numPr>
          <w:ilvl w:val="0"/>
          <w:numId w:val="8"/>
        </w:numPr>
        <w:jc w:val="both"/>
        <w:rPr>
          <w:rFonts w:ascii="Tahoma" w:hAnsi="Tahoma" w:cs="Tahoma"/>
          <w:sz w:val="20"/>
          <w:szCs w:val="20"/>
        </w:rPr>
      </w:pPr>
      <w:r w:rsidRPr="007231F5">
        <w:rPr>
          <w:rFonts w:ascii="Tahoma" w:hAnsi="Tahoma" w:cs="Tahoma"/>
          <w:sz w:val="20"/>
          <w:szCs w:val="20"/>
        </w:rPr>
        <w:t xml:space="preserve">La falsedad del mencionado documento presentado por el Consultor en su  trámite de inscripción ante el Registro Nacional de Proveedores, ha  sido fehacientemente </w:t>
      </w:r>
      <w:r w:rsidRPr="007231F5">
        <w:rPr>
          <w:rFonts w:ascii="Tahoma" w:hAnsi="Tahoma" w:cs="Tahoma"/>
          <w:color w:val="000000"/>
          <w:sz w:val="20"/>
          <w:szCs w:val="20"/>
        </w:rPr>
        <w:t xml:space="preserve">acreditada por </w:t>
      </w:r>
      <w:smartTag w:uri="urn:schemas-microsoft-com:office:smarttags" w:element="PersonName">
        <w:smartTagPr>
          <w:attr w:name="ProductID" w:val="la Entidad"/>
        </w:smartTagPr>
        <w:r w:rsidRPr="007231F5">
          <w:rPr>
            <w:rFonts w:ascii="Tahoma" w:hAnsi="Tahoma" w:cs="Tahoma"/>
            <w:color w:val="000000"/>
            <w:sz w:val="20"/>
            <w:szCs w:val="20"/>
          </w:rPr>
          <w:t>la Entidad</w:t>
        </w:r>
      </w:smartTag>
      <w:r w:rsidRPr="007231F5">
        <w:rPr>
          <w:rFonts w:ascii="Tahoma" w:hAnsi="Tahoma" w:cs="Tahoma"/>
          <w:color w:val="000000"/>
          <w:sz w:val="20"/>
          <w:szCs w:val="20"/>
        </w:rPr>
        <w:t xml:space="preserve"> y por este Colegiado.</w:t>
      </w:r>
    </w:p>
    <w:p w:rsidR="00250FE9" w:rsidRPr="007231F5" w:rsidRDefault="00250FE9" w:rsidP="00250FE9">
      <w:pPr>
        <w:pStyle w:val="ListParagraph1"/>
        <w:rPr>
          <w:rFonts w:ascii="Tahoma" w:hAnsi="Tahoma" w:cs="Tahoma"/>
          <w:color w:val="000000"/>
          <w:sz w:val="20"/>
          <w:szCs w:val="20"/>
        </w:rPr>
      </w:pPr>
    </w:p>
    <w:p w:rsidR="00250FE9" w:rsidRPr="007231F5" w:rsidRDefault="00250FE9" w:rsidP="00250FE9">
      <w:pPr>
        <w:pStyle w:val="ListParagraph1"/>
        <w:numPr>
          <w:ilvl w:val="0"/>
          <w:numId w:val="8"/>
        </w:numPr>
        <w:jc w:val="both"/>
        <w:rPr>
          <w:rFonts w:ascii="Tahoma" w:hAnsi="Tahoma" w:cs="Tahoma"/>
          <w:sz w:val="20"/>
          <w:szCs w:val="20"/>
        </w:rPr>
      </w:pPr>
      <w:smartTag w:uri="urn:schemas-microsoft-com:office:smarttags" w:element="PersonName">
        <w:smartTagPr>
          <w:attr w:name="ProductID" w:val="la Declaraci￳n Jurada"/>
        </w:smartTagPr>
        <w:r w:rsidRPr="007231F5">
          <w:rPr>
            <w:rFonts w:ascii="Tahoma" w:hAnsi="Tahoma" w:cs="Tahoma"/>
            <w:color w:val="000000"/>
            <w:sz w:val="20"/>
            <w:szCs w:val="20"/>
          </w:rPr>
          <w:t>La Declaración Jurada</w:t>
        </w:r>
      </w:smartTag>
      <w:r w:rsidRPr="007231F5">
        <w:rPr>
          <w:rFonts w:ascii="Tahoma" w:hAnsi="Tahoma" w:cs="Tahoma"/>
          <w:color w:val="000000"/>
          <w:sz w:val="20"/>
          <w:szCs w:val="20"/>
        </w:rPr>
        <w:t xml:space="preserve"> de Integrantes del Plantel Técnico y el Contrato de Trabajo a Plazo Indeterminado del 10.07.2008, estaban dirigidos a acreditar su capacidad técnica y cumplir con los requisitos que le exigía el literal b) del numeral 35.1 del Texto Único de Procedimientos Administrativos (TUPA) de CONSUCODE.</w:t>
      </w:r>
      <w:r w:rsidRPr="007231F5">
        <w:rPr>
          <w:rFonts w:ascii="Tahoma" w:hAnsi="Tahoma" w:cs="Tahoma"/>
          <w:sz w:val="20"/>
          <w:szCs w:val="20"/>
        </w:rPr>
        <w:t>, lo que revela la existencia de intencionalidad en la comisión del ilícito administrativo.</w:t>
      </w:r>
    </w:p>
    <w:p w:rsidR="00250FE9" w:rsidRPr="007231F5" w:rsidRDefault="00250FE9" w:rsidP="00250FE9">
      <w:pPr>
        <w:pStyle w:val="ListParagraph1"/>
        <w:rPr>
          <w:rFonts w:ascii="Tahoma" w:hAnsi="Tahoma" w:cs="Tahoma"/>
          <w:sz w:val="20"/>
          <w:szCs w:val="20"/>
        </w:rPr>
      </w:pPr>
    </w:p>
    <w:p w:rsidR="00250FE9" w:rsidRPr="007231F5" w:rsidRDefault="00250FE9" w:rsidP="00250FE9">
      <w:pPr>
        <w:pStyle w:val="ListParagraph1"/>
        <w:numPr>
          <w:ilvl w:val="0"/>
          <w:numId w:val="8"/>
        </w:numPr>
        <w:jc w:val="both"/>
        <w:rPr>
          <w:rFonts w:ascii="Tahoma" w:hAnsi="Tahoma" w:cs="Tahoma"/>
          <w:sz w:val="20"/>
          <w:szCs w:val="20"/>
        </w:rPr>
      </w:pPr>
      <w:r w:rsidRPr="007231F5">
        <w:rPr>
          <w:rFonts w:ascii="Tahoma" w:hAnsi="Tahoma" w:cs="Tahoma"/>
          <w:sz w:val="20"/>
          <w:szCs w:val="20"/>
        </w:rPr>
        <w:t>Así, también debe evaluarse la conducta adoptada por el Postor a lo largo del procedimiento, quién  no ha cumplido con presentar sus descargos.</w:t>
      </w:r>
    </w:p>
    <w:p w:rsidR="00250FE9" w:rsidRPr="007231F5" w:rsidRDefault="00250FE9" w:rsidP="00250FE9">
      <w:pPr>
        <w:pStyle w:val="ListParagraph1"/>
        <w:rPr>
          <w:rFonts w:ascii="Tahoma" w:hAnsi="Tahoma" w:cs="Tahoma"/>
          <w:sz w:val="20"/>
          <w:szCs w:val="20"/>
        </w:rPr>
      </w:pPr>
    </w:p>
    <w:p w:rsidR="00250FE9" w:rsidRPr="007231F5" w:rsidRDefault="00250FE9" w:rsidP="00250FE9">
      <w:pPr>
        <w:pStyle w:val="ListParagraph1"/>
        <w:numPr>
          <w:ilvl w:val="0"/>
          <w:numId w:val="8"/>
        </w:numPr>
        <w:jc w:val="both"/>
        <w:rPr>
          <w:rFonts w:ascii="Tahoma" w:hAnsi="Tahoma" w:cs="Tahoma"/>
          <w:sz w:val="20"/>
          <w:szCs w:val="20"/>
        </w:rPr>
      </w:pPr>
      <w:r w:rsidRPr="007231F5">
        <w:rPr>
          <w:rFonts w:ascii="Tahoma" w:hAnsi="Tahoma" w:cs="Tahoma"/>
          <w:sz w:val="20"/>
          <w:szCs w:val="20"/>
        </w:rPr>
        <w:t>Sin perjuicio de lo anterior, en lo que concierne a las condiciones del infractor, abona a favor del Contratista, el hecho de no  presentar antecedentes en la comisión de alguna de las infracciones previstas en el Reglamento.</w:t>
      </w:r>
    </w:p>
    <w:p w:rsidR="00250FE9" w:rsidRDefault="00250FE9" w:rsidP="00250FE9">
      <w:pPr>
        <w:spacing w:after="0" w:line="240" w:lineRule="auto"/>
        <w:ind w:left="426"/>
        <w:jc w:val="both"/>
        <w:rPr>
          <w:rFonts w:ascii="Tahoma" w:hAnsi="Tahoma" w:cs="Tahoma"/>
          <w:sz w:val="20"/>
          <w:szCs w:val="20"/>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 xml:space="preserve">Asimismo, </w:t>
      </w:r>
      <w:r w:rsidRPr="00250FE9">
        <w:rPr>
          <w:rFonts w:ascii="Tahoma" w:hAnsi="Tahoma" w:cs="Tahoma"/>
          <w:color w:val="000000"/>
          <w:sz w:val="20"/>
          <w:szCs w:val="20"/>
        </w:rPr>
        <w:t xml:space="preserve">resulta importante traer a colación el </w:t>
      </w:r>
      <w:r w:rsidRPr="00250FE9">
        <w:rPr>
          <w:rFonts w:ascii="Tahoma" w:hAnsi="Tahoma" w:cs="Tahoma"/>
          <w:i/>
          <w:iCs/>
          <w:color w:val="000000"/>
          <w:sz w:val="20"/>
          <w:szCs w:val="20"/>
        </w:rPr>
        <w:t>Principio de Razonabilidad</w:t>
      </w:r>
      <w:r w:rsidRPr="00250FE9">
        <w:rPr>
          <w:rFonts w:ascii="Tahoma" w:hAnsi="Tahoma" w:cs="Tahoma"/>
          <w:color w:val="000000"/>
          <w:sz w:val="20"/>
          <w:szCs w:val="20"/>
        </w:rPr>
        <w:t xml:space="preserve">  consagrado en el numeral 1.4 del Artículo IV del Título Preliminar de </w:t>
      </w:r>
      <w:smartTag w:uri="urn:schemas-microsoft-com:office:smarttags" w:element="PersonName">
        <w:smartTagPr>
          <w:attr w:name="ProductID" w:val="la Ley"/>
        </w:smartTagPr>
        <w:r w:rsidRPr="00250FE9">
          <w:rPr>
            <w:rFonts w:ascii="Tahoma" w:hAnsi="Tahoma" w:cs="Tahoma"/>
            <w:color w:val="000000"/>
            <w:sz w:val="20"/>
            <w:szCs w:val="20"/>
          </w:rPr>
          <w:t>la Ley</w:t>
        </w:r>
      </w:smartTag>
      <w:r w:rsidRPr="00250FE9">
        <w:rPr>
          <w:rFonts w:ascii="Tahoma" w:hAnsi="Tahoma" w:cs="Tahoma"/>
          <w:color w:val="000000"/>
          <w:sz w:val="20"/>
          <w:szCs w:val="20"/>
        </w:rPr>
        <w:t xml:space="preserve">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250FE9" w:rsidRDefault="00250FE9" w:rsidP="00250FE9">
      <w:pPr>
        <w:spacing w:after="0" w:line="240" w:lineRule="auto"/>
        <w:ind w:left="426"/>
        <w:jc w:val="both"/>
        <w:rPr>
          <w:rFonts w:ascii="Tahoma" w:hAnsi="Tahoma" w:cs="Tahoma"/>
          <w:sz w:val="20"/>
          <w:szCs w:val="20"/>
        </w:rPr>
      </w:pPr>
    </w:p>
    <w:p w:rsidR="007231F5" w:rsidRPr="00250FE9" w:rsidRDefault="007231F5" w:rsidP="00250FE9">
      <w:pPr>
        <w:numPr>
          <w:ilvl w:val="0"/>
          <w:numId w:val="7"/>
        </w:numPr>
        <w:tabs>
          <w:tab w:val="num" w:pos="454"/>
        </w:tabs>
        <w:spacing w:after="0" w:line="240" w:lineRule="auto"/>
        <w:ind w:left="426" w:hanging="426"/>
        <w:jc w:val="both"/>
        <w:rPr>
          <w:rFonts w:ascii="Tahoma" w:hAnsi="Tahoma" w:cs="Tahoma"/>
          <w:sz w:val="20"/>
          <w:szCs w:val="20"/>
        </w:rPr>
      </w:pPr>
      <w:r w:rsidRPr="00250FE9">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7231F5" w:rsidRPr="007231F5" w:rsidRDefault="007231F5" w:rsidP="00250FE9">
      <w:pPr>
        <w:spacing w:after="0" w:line="240" w:lineRule="auto"/>
        <w:ind w:firstLine="567"/>
        <w:jc w:val="both"/>
        <w:rPr>
          <w:rFonts w:ascii="Tahoma" w:hAnsi="Tahoma" w:cs="Tahoma"/>
          <w:sz w:val="20"/>
          <w:szCs w:val="20"/>
        </w:rPr>
      </w:pPr>
    </w:p>
    <w:p w:rsidR="007231F5" w:rsidRDefault="007231F5" w:rsidP="00250FE9">
      <w:pPr>
        <w:spacing w:after="0" w:line="240" w:lineRule="auto"/>
        <w:ind w:firstLine="360"/>
        <w:jc w:val="both"/>
        <w:rPr>
          <w:rFonts w:ascii="Tahoma" w:hAnsi="Tahoma" w:cs="Tahoma"/>
          <w:sz w:val="20"/>
        </w:rPr>
      </w:pPr>
      <w:r w:rsidRPr="000C1B05">
        <w:rPr>
          <w:rFonts w:ascii="Tahoma" w:hAnsi="Tahoma" w:cs="Tahoma"/>
          <w:sz w:val="20"/>
        </w:rPr>
        <w:t>Por estos fundamentos, de conformidad con el informe del Vocal Ponente Dra. Janette Elke Ramírez Maynetto</w:t>
      </w:r>
      <w:r>
        <w:rPr>
          <w:rFonts w:ascii="Tahoma" w:hAnsi="Tahoma" w:cs="Tahoma"/>
          <w:sz w:val="20"/>
        </w:rPr>
        <w:t xml:space="preserve">, </w:t>
      </w:r>
      <w:r w:rsidRPr="000C1B05">
        <w:rPr>
          <w:rFonts w:ascii="Tahoma" w:hAnsi="Tahoma" w:cs="Tahoma"/>
          <w:sz w:val="20"/>
        </w:rPr>
        <w:t>y la intervención de los Vo</w:t>
      </w:r>
      <w:r>
        <w:rPr>
          <w:rFonts w:ascii="Tahoma" w:hAnsi="Tahoma" w:cs="Tahoma"/>
          <w:sz w:val="20"/>
        </w:rPr>
        <w:t xml:space="preserve">cales </w:t>
      </w:r>
      <w:r w:rsidRPr="000C1B05">
        <w:rPr>
          <w:rFonts w:ascii="Tahoma" w:hAnsi="Tahoma" w:cs="Tahoma"/>
          <w:sz w:val="20"/>
        </w:rPr>
        <w:t xml:space="preserve">Dr. Carlos </w:t>
      </w:r>
      <w:r>
        <w:rPr>
          <w:rFonts w:ascii="Tahoma" w:hAnsi="Tahoma" w:cs="Tahoma"/>
          <w:sz w:val="20"/>
        </w:rPr>
        <w:t>Navas Rondón</w:t>
      </w:r>
      <w:r w:rsidRPr="000C1B05">
        <w:rPr>
          <w:rFonts w:ascii="Tahoma" w:hAnsi="Tahoma" w:cs="Tahoma"/>
          <w:sz w:val="20"/>
        </w:rPr>
        <w:t xml:space="preserve"> </w:t>
      </w:r>
      <w:r>
        <w:rPr>
          <w:rFonts w:ascii="Tahoma" w:hAnsi="Tahoma" w:cs="Tahoma"/>
          <w:sz w:val="20"/>
        </w:rPr>
        <w:t>y Dra. Ada Basulto Liewald</w:t>
      </w:r>
      <w:r w:rsidRPr="000C1B05">
        <w:rPr>
          <w:rFonts w:ascii="Tahoma" w:hAnsi="Tahoma" w:cs="Tahoma"/>
          <w:sz w:val="20"/>
        </w:rPr>
        <w:t xml:space="preserve">, y atendiendo a la reconformación de la Primera Sala del Tribunal de Contrataciones y </w:t>
      </w:r>
      <w:r w:rsidRPr="000C1B05">
        <w:rPr>
          <w:rFonts w:ascii="Tahoma" w:hAnsi="Tahoma" w:cs="Tahoma"/>
          <w:sz w:val="20"/>
        </w:rPr>
        <w:lastRenderedPageBreak/>
        <w:t xml:space="preserve">Adquisiciones del Estado, según lo dispuesto en la Resolución № </w:t>
      </w:r>
      <w:r>
        <w:rPr>
          <w:rFonts w:ascii="Tahoma" w:hAnsi="Tahoma" w:cs="Tahoma"/>
          <w:sz w:val="20"/>
        </w:rPr>
        <w:t>103</w:t>
      </w:r>
      <w:r w:rsidRPr="000C1B05">
        <w:rPr>
          <w:rFonts w:ascii="Tahoma" w:hAnsi="Tahoma" w:cs="Tahoma"/>
          <w:sz w:val="20"/>
        </w:rPr>
        <w:t>-201</w:t>
      </w:r>
      <w:r>
        <w:rPr>
          <w:rFonts w:ascii="Tahoma" w:hAnsi="Tahoma" w:cs="Tahoma"/>
          <w:sz w:val="20"/>
        </w:rPr>
        <w:t>1</w:t>
      </w:r>
      <w:r w:rsidRPr="000C1B05">
        <w:rPr>
          <w:rFonts w:ascii="Tahoma" w:hAnsi="Tahoma" w:cs="Tahoma"/>
          <w:sz w:val="20"/>
        </w:rPr>
        <w:t>-OSCE/PRE, expedida el</w:t>
      </w:r>
      <w:r>
        <w:rPr>
          <w:rFonts w:ascii="Tahoma" w:hAnsi="Tahoma" w:cs="Tahoma"/>
          <w:sz w:val="20"/>
        </w:rPr>
        <w:t xml:space="preserve"> 15</w:t>
      </w:r>
      <w:r w:rsidRPr="000C1B05">
        <w:rPr>
          <w:rFonts w:ascii="Tahoma" w:hAnsi="Tahoma" w:cs="Tahoma"/>
          <w:sz w:val="20"/>
        </w:rPr>
        <w:t xml:space="preserve"> de </w:t>
      </w:r>
      <w:r>
        <w:rPr>
          <w:rFonts w:ascii="Tahoma" w:hAnsi="Tahoma" w:cs="Tahoma"/>
          <w:sz w:val="20"/>
        </w:rPr>
        <w:t>febrero de 2011</w:t>
      </w:r>
      <w:r w:rsidRPr="000C1B05">
        <w:rPr>
          <w:rFonts w:ascii="Tahoma" w:hAnsi="Tahoma" w:cs="Tahoma"/>
          <w:sz w:val="20"/>
        </w:rPr>
        <w:t>,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r>
        <w:rPr>
          <w:rFonts w:ascii="Tahoma" w:hAnsi="Tahoma" w:cs="Tahoma"/>
          <w:sz w:val="20"/>
        </w:rPr>
        <w:t>;</w:t>
      </w:r>
    </w:p>
    <w:p w:rsidR="007231F5" w:rsidRPr="007231F5" w:rsidRDefault="007231F5" w:rsidP="00250FE9">
      <w:pPr>
        <w:spacing w:after="0" w:line="240" w:lineRule="auto"/>
        <w:jc w:val="both"/>
        <w:rPr>
          <w:rFonts w:ascii="Tahoma" w:hAnsi="Tahoma" w:cs="Tahoma"/>
          <w:sz w:val="20"/>
          <w:szCs w:val="20"/>
        </w:rPr>
      </w:pPr>
    </w:p>
    <w:p w:rsidR="007231F5" w:rsidRPr="007231F5" w:rsidRDefault="007231F5" w:rsidP="00250FE9">
      <w:pPr>
        <w:spacing w:after="0" w:line="240" w:lineRule="auto"/>
        <w:ind w:right="-315"/>
        <w:jc w:val="both"/>
        <w:rPr>
          <w:rFonts w:ascii="Tahoma" w:hAnsi="Tahoma" w:cs="Tahoma"/>
          <w:b/>
          <w:sz w:val="20"/>
          <w:szCs w:val="20"/>
        </w:rPr>
      </w:pPr>
      <w:r w:rsidRPr="007231F5">
        <w:rPr>
          <w:rFonts w:ascii="Tahoma" w:hAnsi="Tahoma" w:cs="Tahoma"/>
          <w:b/>
          <w:sz w:val="20"/>
          <w:szCs w:val="20"/>
        </w:rPr>
        <w:t>LA SALA RESUELVE:</w:t>
      </w:r>
    </w:p>
    <w:p w:rsidR="00D86598" w:rsidRDefault="00D86598" w:rsidP="00D86598">
      <w:pPr>
        <w:pStyle w:val="Prrafodelista"/>
        <w:ind w:left="426"/>
        <w:jc w:val="both"/>
        <w:rPr>
          <w:rFonts w:ascii="Tahoma" w:hAnsi="Tahoma" w:cs="Tahoma"/>
          <w:sz w:val="20"/>
        </w:rPr>
      </w:pPr>
    </w:p>
    <w:p w:rsidR="007231F5" w:rsidRDefault="007231F5" w:rsidP="00D86598">
      <w:pPr>
        <w:pStyle w:val="Prrafodelista"/>
        <w:numPr>
          <w:ilvl w:val="0"/>
          <w:numId w:val="10"/>
        </w:numPr>
        <w:ind w:left="426" w:hanging="426"/>
        <w:jc w:val="both"/>
        <w:rPr>
          <w:rFonts w:ascii="Tahoma" w:hAnsi="Tahoma" w:cs="Tahoma"/>
          <w:sz w:val="20"/>
        </w:rPr>
      </w:pPr>
      <w:r w:rsidRPr="00D86598">
        <w:rPr>
          <w:rFonts w:ascii="Tahoma" w:hAnsi="Tahoma" w:cs="Tahoma"/>
          <w:sz w:val="20"/>
        </w:rPr>
        <w:t xml:space="preserve">SANCIONAR a la empresa </w:t>
      </w:r>
      <w:r w:rsidRPr="00D86598">
        <w:rPr>
          <w:rFonts w:ascii="Tahoma" w:hAnsi="Tahoma" w:cs="Tahoma"/>
          <w:sz w:val="20"/>
          <w:lang w:val="es-PE"/>
        </w:rPr>
        <w:t xml:space="preserve">CONSTRUCTORA Y CONSULTORA ANDINA S.A.C. </w:t>
      </w:r>
      <w:r w:rsidRPr="00D86598">
        <w:rPr>
          <w:rFonts w:ascii="Tahoma" w:hAnsi="Tahoma" w:cs="Tahoma"/>
          <w:sz w:val="20"/>
        </w:rPr>
        <w:t>con nueve (09) meses de inhabilitación temporal para participar en procesos de selección y contratar con el Estado, sanción que entrará en vigencia a partir del sexto día hábil siguiente de publicada la presente resolución en el Diario Oficial “El Peruano” al no contar con domicilio cierto de la mencionada empresa. </w:t>
      </w:r>
    </w:p>
    <w:p w:rsidR="00D86598" w:rsidRDefault="00D86598" w:rsidP="00D86598">
      <w:pPr>
        <w:pStyle w:val="Prrafodelista"/>
        <w:ind w:left="426"/>
        <w:jc w:val="both"/>
        <w:rPr>
          <w:rFonts w:ascii="Tahoma" w:hAnsi="Tahoma" w:cs="Tahoma"/>
          <w:sz w:val="20"/>
        </w:rPr>
      </w:pPr>
    </w:p>
    <w:p w:rsidR="007231F5" w:rsidRPr="00D86598" w:rsidRDefault="007231F5" w:rsidP="00D86598">
      <w:pPr>
        <w:pStyle w:val="Prrafodelista"/>
        <w:numPr>
          <w:ilvl w:val="0"/>
          <w:numId w:val="10"/>
        </w:numPr>
        <w:ind w:left="426" w:hanging="426"/>
        <w:jc w:val="both"/>
        <w:rPr>
          <w:rFonts w:ascii="Tahoma" w:hAnsi="Tahoma" w:cs="Tahoma"/>
          <w:sz w:val="20"/>
        </w:rPr>
      </w:pPr>
      <w:r w:rsidRPr="00D86598">
        <w:rPr>
          <w:rFonts w:ascii="Tahoma" w:hAnsi="Tahoma" w:cs="Tahoma"/>
          <w:sz w:val="20"/>
        </w:rPr>
        <w:t xml:space="preserve">Poner la presente Resolución en conocimiento de </w:t>
      </w:r>
      <w:smartTag w:uri="urn:schemas-microsoft-com:office:smarttags" w:element="PersonName">
        <w:smartTagPr>
          <w:attr w:name="ProductID" w:val="la Subdirecci￳n"/>
        </w:smartTagPr>
        <w:r w:rsidRPr="00D86598">
          <w:rPr>
            <w:rFonts w:ascii="Tahoma" w:hAnsi="Tahoma" w:cs="Tahoma"/>
            <w:sz w:val="20"/>
          </w:rPr>
          <w:t>la Subdirección</w:t>
        </w:r>
      </w:smartTag>
      <w:r w:rsidRPr="00D86598">
        <w:rPr>
          <w:rFonts w:ascii="Tahoma" w:hAnsi="Tahoma" w:cs="Tahoma"/>
          <w:sz w:val="20"/>
        </w:rPr>
        <w:t xml:space="preserve"> del Registro Nacional de Proveedores del Organismo Supervisor de las Contrataciones del Estado (OSCE), para las anotaciones de ley.</w:t>
      </w:r>
    </w:p>
    <w:p w:rsidR="007231F5" w:rsidRPr="007231F5" w:rsidRDefault="007231F5" w:rsidP="00250FE9">
      <w:pPr>
        <w:pStyle w:val="Ttulo3"/>
        <w:spacing w:line="240" w:lineRule="auto"/>
        <w:jc w:val="both"/>
        <w:rPr>
          <w:rFonts w:ascii="Tahoma" w:hAnsi="Tahoma" w:cs="Tahoma"/>
          <w:b w:val="0"/>
          <w:bCs w:val="0"/>
          <w:sz w:val="20"/>
          <w:szCs w:val="20"/>
        </w:rPr>
      </w:pPr>
      <w:r w:rsidRPr="007231F5">
        <w:rPr>
          <w:rFonts w:ascii="Tahoma" w:hAnsi="Tahoma" w:cs="Tahoma"/>
          <w:b w:val="0"/>
          <w:sz w:val="20"/>
          <w:szCs w:val="20"/>
        </w:rPr>
        <w:t>Regístrese, comuníquese y publíquese.</w:t>
      </w: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D86598" w:rsidP="00250FE9">
      <w:pPr>
        <w:spacing w:after="0" w:line="240" w:lineRule="auto"/>
        <w:ind w:left="2832" w:firstLine="708"/>
        <w:jc w:val="both"/>
        <w:rPr>
          <w:rFonts w:ascii="Tahoma" w:hAnsi="Tahoma" w:cs="Tahoma"/>
          <w:b/>
          <w:shadow/>
          <w:sz w:val="20"/>
          <w:szCs w:val="20"/>
        </w:rPr>
      </w:pPr>
      <w:r>
        <w:rPr>
          <w:rFonts w:ascii="Tahoma" w:hAnsi="Tahoma" w:cs="Tahoma"/>
          <w:b/>
          <w:shadow/>
          <w:sz w:val="20"/>
          <w:szCs w:val="20"/>
        </w:rPr>
        <w:t>PRESIDENTE</w:t>
      </w: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b/>
          <w:shadow/>
          <w:sz w:val="20"/>
          <w:szCs w:val="20"/>
        </w:rPr>
      </w:pPr>
    </w:p>
    <w:p w:rsidR="007231F5" w:rsidRPr="007231F5" w:rsidRDefault="007231F5" w:rsidP="00250FE9">
      <w:pPr>
        <w:spacing w:after="0" w:line="240" w:lineRule="auto"/>
        <w:jc w:val="both"/>
        <w:rPr>
          <w:rFonts w:ascii="Tahoma" w:hAnsi="Tahoma" w:cs="Tahoma"/>
          <w:shadow/>
          <w:sz w:val="20"/>
          <w:szCs w:val="20"/>
        </w:rPr>
      </w:pPr>
      <w:r w:rsidRPr="007231F5">
        <w:rPr>
          <w:rFonts w:ascii="Tahoma" w:hAnsi="Tahoma" w:cs="Tahoma"/>
          <w:b/>
          <w:shadow/>
          <w:sz w:val="20"/>
          <w:szCs w:val="20"/>
        </w:rPr>
        <w:t xml:space="preserve">                   VOCAL</w:t>
      </w:r>
      <w:r w:rsidRPr="007231F5">
        <w:rPr>
          <w:rFonts w:ascii="Tahoma" w:hAnsi="Tahoma" w:cs="Tahoma"/>
          <w:b/>
          <w:shadow/>
          <w:sz w:val="20"/>
          <w:szCs w:val="20"/>
        </w:rPr>
        <w:tab/>
      </w:r>
      <w:r w:rsidRPr="007231F5">
        <w:rPr>
          <w:rFonts w:ascii="Tahoma" w:hAnsi="Tahoma" w:cs="Tahoma"/>
          <w:b/>
          <w:shadow/>
          <w:sz w:val="20"/>
          <w:szCs w:val="20"/>
        </w:rPr>
        <w:tab/>
      </w:r>
      <w:r w:rsidRPr="007231F5">
        <w:rPr>
          <w:rFonts w:ascii="Tahoma" w:hAnsi="Tahoma" w:cs="Tahoma"/>
          <w:b/>
          <w:shadow/>
          <w:sz w:val="20"/>
          <w:szCs w:val="20"/>
        </w:rPr>
        <w:tab/>
      </w:r>
      <w:r w:rsidRPr="007231F5">
        <w:rPr>
          <w:rFonts w:ascii="Tahoma" w:hAnsi="Tahoma" w:cs="Tahoma"/>
          <w:b/>
          <w:shadow/>
          <w:sz w:val="20"/>
          <w:szCs w:val="20"/>
        </w:rPr>
        <w:tab/>
      </w:r>
      <w:r w:rsidRPr="007231F5">
        <w:rPr>
          <w:rFonts w:ascii="Tahoma" w:hAnsi="Tahoma" w:cs="Tahoma"/>
          <w:b/>
          <w:shadow/>
          <w:sz w:val="20"/>
          <w:szCs w:val="20"/>
        </w:rPr>
        <w:tab/>
      </w:r>
      <w:r w:rsidRPr="007231F5">
        <w:rPr>
          <w:rFonts w:ascii="Tahoma" w:hAnsi="Tahoma" w:cs="Tahoma"/>
          <w:b/>
          <w:shadow/>
          <w:sz w:val="20"/>
          <w:szCs w:val="20"/>
        </w:rPr>
        <w:tab/>
      </w:r>
      <w:r w:rsidRPr="007231F5">
        <w:rPr>
          <w:rFonts w:ascii="Tahoma" w:hAnsi="Tahoma" w:cs="Tahoma"/>
          <w:b/>
          <w:shadow/>
          <w:sz w:val="20"/>
          <w:szCs w:val="20"/>
        </w:rPr>
        <w:tab/>
      </w:r>
      <w:r w:rsidRPr="007231F5">
        <w:rPr>
          <w:rFonts w:ascii="Tahoma" w:hAnsi="Tahoma" w:cs="Tahoma"/>
          <w:b/>
          <w:shadow/>
          <w:sz w:val="20"/>
          <w:szCs w:val="20"/>
        </w:rPr>
        <w:tab/>
        <w:t xml:space="preserve">VOCAL                                                                 </w:t>
      </w:r>
    </w:p>
    <w:p w:rsidR="007231F5" w:rsidRPr="007231F5" w:rsidRDefault="007231F5" w:rsidP="00250FE9">
      <w:pPr>
        <w:spacing w:after="0" w:line="240" w:lineRule="auto"/>
        <w:jc w:val="both"/>
        <w:rPr>
          <w:rFonts w:ascii="Tahoma" w:hAnsi="Tahoma" w:cs="Tahoma"/>
          <w:sz w:val="20"/>
          <w:szCs w:val="20"/>
        </w:rPr>
      </w:pPr>
    </w:p>
    <w:p w:rsidR="007231F5" w:rsidRPr="007231F5" w:rsidRDefault="007231F5" w:rsidP="00250FE9">
      <w:pPr>
        <w:spacing w:after="0" w:line="240" w:lineRule="auto"/>
        <w:jc w:val="both"/>
        <w:rPr>
          <w:rFonts w:ascii="Tahoma" w:hAnsi="Tahoma" w:cs="Tahoma"/>
          <w:sz w:val="20"/>
          <w:szCs w:val="20"/>
        </w:rPr>
      </w:pPr>
    </w:p>
    <w:p w:rsidR="007231F5" w:rsidRPr="007231F5" w:rsidRDefault="007231F5" w:rsidP="00250FE9">
      <w:pPr>
        <w:spacing w:after="0" w:line="240" w:lineRule="auto"/>
        <w:jc w:val="both"/>
        <w:rPr>
          <w:rFonts w:ascii="Tahoma" w:hAnsi="Tahoma" w:cs="Tahoma"/>
          <w:sz w:val="20"/>
          <w:szCs w:val="20"/>
        </w:rPr>
      </w:pPr>
    </w:p>
    <w:p w:rsidR="007231F5" w:rsidRPr="009A5713" w:rsidRDefault="007231F5" w:rsidP="00250FE9">
      <w:pPr>
        <w:spacing w:after="0" w:line="240" w:lineRule="auto"/>
        <w:jc w:val="both"/>
        <w:rPr>
          <w:rFonts w:ascii="Tahoma" w:hAnsi="Tahoma" w:cs="Tahoma"/>
          <w:sz w:val="20"/>
          <w:szCs w:val="20"/>
        </w:rPr>
      </w:pPr>
      <w:r w:rsidRPr="009A5713">
        <w:rPr>
          <w:rFonts w:ascii="Tahoma" w:hAnsi="Tahoma" w:cs="Tahoma"/>
          <w:sz w:val="20"/>
          <w:szCs w:val="20"/>
        </w:rPr>
        <w:t>ss.</w:t>
      </w:r>
    </w:p>
    <w:p w:rsidR="00D86598" w:rsidRPr="00B373A9" w:rsidRDefault="00D86598" w:rsidP="00250FE9">
      <w:pPr>
        <w:spacing w:after="0" w:line="240" w:lineRule="auto"/>
        <w:jc w:val="both"/>
        <w:rPr>
          <w:rFonts w:ascii="Tahoma" w:hAnsi="Tahoma" w:cs="Tahoma"/>
          <w:sz w:val="20"/>
          <w:szCs w:val="20"/>
        </w:rPr>
      </w:pPr>
      <w:r w:rsidRPr="00B373A9">
        <w:rPr>
          <w:rFonts w:ascii="Tahoma" w:hAnsi="Tahoma" w:cs="Tahoma"/>
          <w:sz w:val="20"/>
          <w:szCs w:val="20"/>
        </w:rPr>
        <w:t>Navas Rondón.</w:t>
      </w:r>
    </w:p>
    <w:p w:rsidR="00D86598" w:rsidRPr="00B373A9" w:rsidRDefault="00D86598" w:rsidP="00D86598">
      <w:pPr>
        <w:spacing w:after="0" w:line="240" w:lineRule="auto"/>
        <w:jc w:val="both"/>
        <w:rPr>
          <w:rFonts w:ascii="Tahoma" w:hAnsi="Tahoma" w:cs="Tahoma"/>
          <w:sz w:val="20"/>
          <w:szCs w:val="20"/>
        </w:rPr>
      </w:pPr>
      <w:r w:rsidRPr="00B373A9">
        <w:rPr>
          <w:rFonts w:ascii="Tahoma" w:hAnsi="Tahoma" w:cs="Tahoma"/>
          <w:sz w:val="20"/>
          <w:szCs w:val="20"/>
        </w:rPr>
        <w:t>Ramírez Maynetto.</w:t>
      </w:r>
    </w:p>
    <w:p w:rsidR="007231F5" w:rsidRPr="00B373A9" w:rsidRDefault="007231F5" w:rsidP="00250FE9">
      <w:pPr>
        <w:spacing w:after="0" w:line="240" w:lineRule="auto"/>
        <w:jc w:val="both"/>
        <w:rPr>
          <w:rFonts w:ascii="Tahoma" w:hAnsi="Tahoma" w:cs="Tahoma"/>
          <w:sz w:val="20"/>
          <w:szCs w:val="20"/>
        </w:rPr>
      </w:pPr>
      <w:r w:rsidRPr="00B373A9">
        <w:rPr>
          <w:rFonts w:ascii="Tahoma" w:hAnsi="Tahoma" w:cs="Tahoma"/>
          <w:sz w:val="20"/>
          <w:szCs w:val="20"/>
        </w:rPr>
        <w:t xml:space="preserve">Basulto Liewald, </w:t>
      </w:r>
    </w:p>
    <w:p w:rsidR="00A83573" w:rsidRPr="007231F5" w:rsidRDefault="00A83573" w:rsidP="00250FE9">
      <w:pPr>
        <w:spacing w:line="240" w:lineRule="auto"/>
        <w:rPr>
          <w:rFonts w:ascii="Tahoma" w:hAnsi="Tahoma" w:cs="Tahoma"/>
          <w:sz w:val="20"/>
          <w:szCs w:val="20"/>
        </w:rPr>
      </w:pPr>
    </w:p>
    <w:sectPr w:rsidR="00A83573" w:rsidRPr="007231F5" w:rsidSect="001009D3">
      <w:headerReference w:type="default" r:id="rId7"/>
      <w:footerReference w:type="default" r:id="rId8"/>
      <w:pgSz w:w="11906" w:h="16838"/>
      <w:pgMar w:top="2694" w:right="1558" w:bottom="1276"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462" w:rsidRDefault="00B36462" w:rsidP="007231F5">
      <w:pPr>
        <w:spacing w:after="0" w:line="240" w:lineRule="auto"/>
      </w:pPr>
      <w:r>
        <w:separator/>
      </w:r>
    </w:p>
  </w:endnote>
  <w:endnote w:type="continuationSeparator" w:id="1">
    <w:p w:rsidR="00B36462" w:rsidRDefault="00B36462" w:rsidP="007231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73" w:rsidRPr="00FD5A0C" w:rsidRDefault="00A83573">
    <w:pPr>
      <w:pStyle w:val="Piedepgina"/>
      <w:jc w:val="center"/>
      <w:rPr>
        <w:rFonts w:ascii="Tahoma" w:hAnsi="Tahoma" w:cs="Tahoma"/>
        <w:i/>
        <w:sz w:val="18"/>
        <w:szCs w:val="18"/>
      </w:rPr>
    </w:pPr>
    <w:r w:rsidRPr="00FD5A0C">
      <w:rPr>
        <w:rFonts w:ascii="Tahoma" w:hAnsi="Tahoma" w:cs="Tahoma"/>
        <w:i/>
        <w:sz w:val="18"/>
        <w:szCs w:val="18"/>
      </w:rPr>
      <w:t xml:space="preserve">Página </w:t>
    </w:r>
    <w:r w:rsidR="004D3A62" w:rsidRPr="00FD5A0C">
      <w:rPr>
        <w:rFonts w:ascii="Tahoma" w:hAnsi="Tahoma" w:cs="Tahoma"/>
        <w:i/>
        <w:sz w:val="18"/>
        <w:szCs w:val="18"/>
      </w:rPr>
      <w:fldChar w:fldCharType="begin"/>
    </w:r>
    <w:r w:rsidRPr="00FD5A0C">
      <w:rPr>
        <w:rFonts w:ascii="Tahoma" w:hAnsi="Tahoma" w:cs="Tahoma"/>
        <w:i/>
        <w:sz w:val="18"/>
        <w:szCs w:val="18"/>
      </w:rPr>
      <w:instrText>PAGE</w:instrText>
    </w:r>
    <w:r w:rsidR="004D3A62" w:rsidRPr="00FD5A0C">
      <w:rPr>
        <w:rFonts w:ascii="Tahoma" w:hAnsi="Tahoma" w:cs="Tahoma"/>
        <w:i/>
        <w:sz w:val="18"/>
        <w:szCs w:val="18"/>
      </w:rPr>
      <w:fldChar w:fldCharType="separate"/>
    </w:r>
    <w:r w:rsidR="009A5713">
      <w:rPr>
        <w:rFonts w:ascii="Tahoma" w:hAnsi="Tahoma" w:cs="Tahoma"/>
        <w:i/>
        <w:noProof/>
        <w:sz w:val="18"/>
        <w:szCs w:val="18"/>
      </w:rPr>
      <w:t>1</w:t>
    </w:r>
    <w:r w:rsidR="004D3A62" w:rsidRPr="00FD5A0C">
      <w:rPr>
        <w:rFonts w:ascii="Tahoma" w:hAnsi="Tahoma" w:cs="Tahoma"/>
        <w:i/>
        <w:sz w:val="18"/>
        <w:szCs w:val="18"/>
      </w:rPr>
      <w:fldChar w:fldCharType="end"/>
    </w:r>
    <w:r w:rsidRPr="00FD5A0C">
      <w:rPr>
        <w:rFonts w:ascii="Tahoma" w:hAnsi="Tahoma" w:cs="Tahoma"/>
        <w:i/>
        <w:sz w:val="18"/>
        <w:szCs w:val="18"/>
      </w:rPr>
      <w:t xml:space="preserve"> de </w:t>
    </w:r>
    <w:r w:rsidR="004D3A62" w:rsidRPr="00FD5A0C">
      <w:rPr>
        <w:rFonts w:ascii="Tahoma" w:hAnsi="Tahoma" w:cs="Tahoma"/>
        <w:i/>
        <w:sz w:val="18"/>
        <w:szCs w:val="18"/>
      </w:rPr>
      <w:fldChar w:fldCharType="begin"/>
    </w:r>
    <w:r w:rsidRPr="00FD5A0C">
      <w:rPr>
        <w:rFonts w:ascii="Tahoma" w:hAnsi="Tahoma" w:cs="Tahoma"/>
        <w:i/>
        <w:sz w:val="18"/>
        <w:szCs w:val="18"/>
      </w:rPr>
      <w:instrText>NUMPAGES</w:instrText>
    </w:r>
    <w:r w:rsidR="004D3A62" w:rsidRPr="00FD5A0C">
      <w:rPr>
        <w:rFonts w:ascii="Tahoma" w:hAnsi="Tahoma" w:cs="Tahoma"/>
        <w:i/>
        <w:sz w:val="18"/>
        <w:szCs w:val="18"/>
      </w:rPr>
      <w:fldChar w:fldCharType="separate"/>
    </w:r>
    <w:r w:rsidR="009A5713">
      <w:rPr>
        <w:rFonts w:ascii="Tahoma" w:hAnsi="Tahoma" w:cs="Tahoma"/>
        <w:i/>
        <w:noProof/>
        <w:sz w:val="18"/>
        <w:szCs w:val="18"/>
      </w:rPr>
      <w:t>7</w:t>
    </w:r>
    <w:r w:rsidR="004D3A62" w:rsidRPr="00FD5A0C">
      <w:rPr>
        <w:rFonts w:ascii="Tahoma" w:hAnsi="Tahoma" w:cs="Tahoma"/>
        <w:i/>
        <w:sz w:val="18"/>
        <w:szCs w:val="18"/>
      </w:rPr>
      <w:fldChar w:fldCharType="end"/>
    </w:r>
  </w:p>
  <w:p w:rsidR="00A83573" w:rsidRDefault="00A8357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462" w:rsidRDefault="00B36462" w:rsidP="007231F5">
      <w:pPr>
        <w:spacing w:after="0" w:line="240" w:lineRule="auto"/>
      </w:pPr>
      <w:r>
        <w:separator/>
      </w:r>
    </w:p>
  </w:footnote>
  <w:footnote w:type="continuationSeparator" w:id="1">
    <w:p w:rsidR="00B36462" w:rsidRDefault="00B36462" w:rsidP="007231F5">
      <w:pPr>
        <w:spacing w:after="0" w:line="240" w:lineRule="auto"/>
      </w:pPr>
      <w:r>
        <w:continuationSeparator/>
      </w:r>
    </w:p>
  </w:footnote>
  <w:footnote w:id="2">
    <w:p w:rsidR="00A83573" w:rsidRPr="0098685D" w:rsidRDefault="00A83573" w:rsidP="007231F5">
      <w:pPr>
        <w:pStyle w:val="Textonotapie"/>
      </w:pPr>
      <w:r>
        <w:rPr>
          <w:rStyle w:val="Refdenotaalpie"/>
        </w:rPr>
        <w:footnoteRef/>
      </w:r>
      <w:r>
        <w:rPr>
          <w:rFonts w:ascii="Calibri" w:hAnsi="Calibri" w:cs="Times New Roman"/>
        </w:rPr>
        <w:t xml:space="preserve"> </w:t>
      </w:r>
      <w:r>
        <w:rPr>
          <w:szCs w:val="16"/>
        </w:rPr>
        <w:t>“</w:t>
      </w:r>
      <w:r w:rsidRPr="0098685D">
        <w:rPr>
          <w:b/>
          <w:sz w:val="18"/>
          <w:szCs w:val="18"/>
        </w:rPr>
        <w:t>Artículo 294.- Causales de aplicación de sanción a los proveedores, participantes postores y contratistas</w:t>
      </w:r>
      <w:r w:rsidRPr="0098685D">
        <w:rPr>
          <w:b/>
        </w:rPr>
        <w:t>.-</w:t>
      </w:r>
      <w:r w:rsidRPr="0098685D">
        <w:t xml:space="preserve"> El Tribunal impondrá sanción administrativa de suspensión o inhabilitación temporal o definitiva a los proveedores, participantes postores y/o contratistas que:</w:t>
      </w:r>
    </w:p>
    <w:p w:rsidR="00A83573" w:rsidRPr="0098685D" w:rsidRDefault="00A83573" w:rsidP="007231F5">
      <w:pPr>
        <w:pStyle w:val="Textonotapie"/>
      </w:pPr>
      <w:r w:rsidRPr="0098685D">
        <w:t xml:space="preserve">(…) </w:t>
      </w:r>
    </w:p>
    <w:p w:rsidR="00A83573" w:rsidRPr="0098685D" w:rsidRDefault="00A83573" w:rsidP="007231F5">
      <w:pPr>
        <w:pStyle w:val="Textonotapie"/>
      </w:pPr>
      <w:r w:rsidRPr="0098685D">
        <w:t>10) Presenten documentos falsos o con información inexacta en los procedimientos seguidos ante el Registro Nacional de proveedores;</w:t>
      </w:r>
    </w:p>
    <w:p w:rsidR="00A83573" w:rsidRPr="0098685D" w:rsidRDefault="00A83573" w:rsidP="007231F5">
      <w:pPr>
        <w:pStyle w:val="Textonotapie"/>
      </w:pPr>
      <w:r w:rsidRPr="0098685D">
        <w:t>(…)”.</w:t>
      </w:r>
    </w:p>
    <w:p w:rsidR="00A83573" w:rsidRDefault="00A83573" w:rsidP="007231F5">
      <w:pPr>
        <w:pStyle w:val="Textonotapie"/>
        <w:rPr>
          <w:rFonts w:ascii="Calibri" w:hAnsi="Calibri" w:cs="Times New Roman"/>
        </w:rPr>
      </w:pPr>
    </w:p>
  </w:footnote>
  <w:footnote w:id="3">
    <w:p w:rsidR="00A83573" w:rsidRDefault="00A83573" w:rsidP="007231F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Times New Roman"/>
          <w:sz w:val="18"/>
          <w:szCs w:val="18"/>
        </w:rPr>
      </w:pPr>
      <w:r>
        <w:rPr>
          <w:rStyle w:val="Refdenotaalpie"/>
          <w:sz w:val="18"/>
          <w:szCs w:val="18"/>
        </w:rPr>
        <w:footnoteRef/>
      </w:r>
      <w:r>
        <w:rPr>
          <w:rFonts w:ascii="Calibri" w:hAnsi="Calibri" w:cs="Times New Roman"/>
          <w:sz w:val="18"/>
          <w:szCs w:val="18"/>
        </w:rPr>
        <w:t xml:space="preserve"> </w:t>
      </w:r>
      <w:r>
        <w:rPr>
          <w:rFonts w:ascii="Calibri" w:hAnsi="Calibri" w:cs="Times New Roman"/>
          <w:b/>
          <w:bCs/>
          <w:sz w:val="18"/>
          <w:szCs w:val="18"/>
        </w:rPr>
        <w:t xml:space="preserve">5. </w:t>
      </w:r>
      <w:r>
        <w:rPr>
          <w:rFonts w:ascii="Calibri" w:hAnsi="Calibri" w:cs="Times New Roman"/>
          <w:sz w:val="18"/>
          <w:szCs w:val="18"/>
        </w:rPr>
        <w:t>Irretroactividad.- Son aplicables las disposiciones sancionadoras vigentes en el momento de incurrir el administrado en la conducta a sancionar, salvo que las posteriores le sean más favorables.</w:t>
      </w:r>
    </w:p>
    <w:p w:rsidR="00A83573" w:rsidRDefault="00A83573" w:rsidP="007231F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Times New Roman"/>
        </w:rPr>
      </w:pPr>
    </w:p>
  </w:footnote>
  <w:footnote w:id="4">
    <w:p w:rsidR="00A83573" w:rsidRDefault="00A83573" w:rsidP="007231F5">
      <w:pPr>
        <w:pStyle w:val="Textonotapie"/>
        <w:rPr>
          <w:rFonts w:ascii="Calibri" w:hAnsi="Calibri" w:cs="Times New Roman"/>
        </w:rPr>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5">
    <w:p w:rsidR="00A83573" w:rsidRDefault="00A83573" w:rsidP="007231F5">
      <w:pPr>
        <w:pStyle w:val="Textonotapie"/>
        <w:jc w:val="left"/>
        <w:rPr>
          <w:rFonts w:ascii="Calibri" w:hAnsi="Calibri" w:cs="Times New Roman"/>
        </w:rPr>
      </w:pPr>
      <w:r>
        <w:rPr>
          <w:rStyle w:val="Refdenotaalpie"/>
          <w:sz w:val="16"/>
          <w:szCs w:val="16"/>
        </w:rPr>
        <w:footnoteRef/>
      </w:r>
      <w:r>
        <w:rPr>
          <w:sz w:val="16"/>
          <w:szCs w:val="16"/>
        </w:rPr>
        <w:t xml:space="preserve">A modo de ejemplo se puede revisar la Resolución N.º 888-2007/S3-TC de fecha 19 de julio de 2007. </w:t>
      </w:r>
    </w:p>
  </w:footnote>
  <w:footnote w:id="6">
    <w:p w:rsidR="00A83573" w:rsidRDefault="00A83573" w:rsidP="007231F5">
      <w:pPr>
        <w:pStyle w:val="Textonotapie"/>
        <w:ind w:left="180" w:hanging="180"/>
        <w:rPr>
          <w:rFonts w:ascii="Calibri" w:hAnsi="Calibri" w:cs="Times New Roman"/>
        </w:rPr>
      </w:pPr>
      <w:r>
        <w:rPr>
          <w:rStyle w:val="Refdenotaalpie"/>
          <w:i/>
          <w:sz w:val="18"/>
          <w:szCs w:val="18"/>
        </w:rPr>
        <w:footnoteRef/>
      </w:r>
      <w:r>
        <w:rPr>
          <w:rFonts w:ascii="Calibri" w:hAnsi="Calibri" w:cs="Times New Roman"/>
          <w:i/>
          <w:sz w:val="18"/>
          <w:szCs w:val="18"/>
        </w:rPr>
        <w:t xml:space="preserve"> Cas. Nº 867-98, Cusco, Sala Civil de </w:t>
      </w:r>
      <w:smartTag w:uri="urn:schemas-microsoft-com:office:smarttags" w:element="PersonName">
        <w:smartTagPr>
          <w:attr w:name="ProductID" w:val="la Corte Suprema."/>
        </w:smartTagPr>
        <w:r>
          <w:rPr>
            <w:rFonts w:ascii="Calibri" w:hAnsi="Calibri" w:cs="Times New Roman"/>
            <w:i/>
            <w:sz w:val="18"/>
            <w:szCs w:val="18"/>
          </w:rPr>
          <w:t>la Corte Suprema.</w:t>
        </w:r>
      </w:smartTag>
      <w:r>
        <w:rPr>
          <w:rFonts w:ascii="Calibri" w:hAnsi="Calibri" w:cs="Times New Roman"/>
          <w:i/>
          <w:sz w:val="18"/>
          <w:szCs w:val="18"/>
        </w:rPr>
        <w:t xml:space="preserve"> Lima, 10 dic. 1998 (El Peruano, 21 ene. 1999, pp. 2518-2519).</w:t>
      </w:r>
    </w:p>
  </w:footnote>
  <w:footnote w:id="7">
    <w:p w:rsidR="00A83573" w:rsidRDefault="00A83573" w:rsidP="007231F5">
      <w:pPr>
        <w:pStyle w:val="Textonotapie"/>
        <w:rPr>
          <w:rFonts w:ascii="Calibri" w:hAnsi="Calibri" w:cs="Times New Roman"/>
        </w:rPr>
      </w:pPr>
      <w:r>
        <w:rPr>
          <w:rStyle w:val="Refdenotaalpie"/>
          <w:i/>
          <w:sz w:val="16"/>
          <w:szCs w:val="16"/>
        </w:rPr>
        <w:footnoteRef/>
      </w:r>
      <w:r>
        <w:rPr>
          <w:rFonts w:ascii="Calibri" w:hAnsi="Calibri" w:cs="Times New Roman"/>
          <w:i/>
          <w:sz w:val="16"/>
          <w:szCs w:val="16"/>
        </w:rPr>
        <w:t xml:space="preserve">  Artículo 42 de </w:t>
      </w:r>
      <w:smartTag w:uri="urn:schemas-microsoft-com:office:smarttags" w:element="PersonName">
        <w:smartTagPr>
          <w:attr w:name="ProductID" w:val="la Ley N"/>
        </w:smartTagPr>
        <w:r>
          <w:rPr>
            <w:rFonts w:ascii="Calibri" w:hAnsi="Calibri" w:cs="Times New Roman"/>
            <w:i/>
            <w:sz w:val="16"/>
            <w:szCs w:val="16"/>
          </w:rPr>
          <w:t>la Ley N</w:t>
        </w:r>
      </w:smartTag>
      <w:r>
        <w:rPr>
          <w:rFonts w:ascii="Calibri" w:hAnsi="Calibri" w:cs="Times New Roman"/>
          <w:i/>
          <w:sz w:val="16"/>
          <w:szCs w:val="16"/>
        </w:rPr>
        <w:t>º 27444, Ley del Procedimiento Administrativo General.</w:t>
      </w:r>
    </w:p>
  </w:footnote>
  <w:footnote w:id="8">
    <w:p w:rsidR="00A83573" w:rsidRDefault="00A83573" w:rsidP="007231F5">
      <w:pPr>
        <w:pStyle w:val="Textonotapie"/>
        <w:rPr>
          <w:rFonts w:ascii="Calibri" w:hAnsi="Calibri" w:cs="Times New Roman"/>
        </w:rPr>
      </w:pPr>
      <w:r>
        <w:rPr>
          <w:rStyle w:val="Refdenotaalpie"/>
          <w:i/>
          <w:sz w:val="16"/>
          <w:szCs w:val="16"/>
        </w:rPr>
        <w:footnoteRef/>
      </w:r>
      <w:r>
        <w:rPr>
          <w:rFonts w:ascii="Calibri" w:hAnsi="Calibri" w:cs="Times New Roman"/>
          <w:i/>
          <w:sz w:val="16"/>
          <w:szCs w:val="16"/>
        </w:rPr>
        <w:t xml:space="preserve"> Literal c) del artículo 42 del Reglamento de </w:t>
      </w:r>
      <w:smartTag w:uri="urn:schemas-microsoft-com:office:smarttags" w:element="PersonName">
        <w:smartTagPr>
          <w:attr w:name="ProductID" w:val="la Ley"/>
        </w:smartTagPr>
        <w:r>
          <w:rPr>
            <w:rFonts w:ascii="Calibri" w:hAnsi="Calibri" w:cs="Times New Roman"/>
            <w:i/>
            <w:sz w:val="16"/>
            <w:szCs w:val="16"/>
          </w:rPr>
          <w:t>la Ley</w:t>
        </w:r>
      </w:smartTag>
      <w:r>
        <w:rPr>
          <w:rFonts w:ascii="Calibri" w:hAnsi="Calibri" w:cs="Times New Roman"/>
          <w:i/>
          <w:sz w:val="16"/>
          <w:szCs w:val="16"/>
        </w:rPr>
        <w:t xml:space="preserve"> de Contrataciones del Estado.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713" w:rsidRDefault="009A5713" w:rsidP="009A5713">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A5713" w:rsidRDefault="009A5713" w:rsidP="009A5713">
    <w:pPr>
      <w:pStyle w:val="Encabezado"/>
      <w:rPr>
        <w:noProof/>
      </w:rPr>
    </w:pPr>
  </w:p>
  <w:p w:rsidR="009A5713" w:rsidRDefault="009A5713" w:rsidP="009A5713">
    <w:pPr>
      <w:pStyle w:val="Encabezado"/>
      <w:rPr>
        <w:noProof/>
      </w:rPr>
    </w:pPr>
  </w:p>
  <w:p w:rsidR="009A5713" w:rsidRDefault="009A5713" w:rsidP="009A5713">
    <w:pPr>
      <w:pStyle w:val="Encabezado"/>
      <w:rPr>
        <w:noProof/>
      </w:rPr>
    </w:pPr>
  </w:p>
  <w:p w:rsidR="009A5713" w:rsidRDefault="009A5713" w:rsidP="009A5713">
    <w:pPr>
      <w:pStyle w:val="Encabezado"/>
      <w:jc w:val="center"/>
    </w:pPr>
    <w:r>
      <w:rPr>
        <w:rFonts w:ascii="Monotype Corsiva" w:hAnsi="Monotype Corsiva"/>
        <w:b/>
        <w:sz w:val="44"/>
        <w:szCs w:val="44"/>
      </w:rPr>
      <w:t xml:space="preserve">Resolución Nº   </w:t>
    </w:r>
    <w:r>
      <w:rPr>
        <w:rFonts w:ascii="Tahoma" w:hAnsi="Tahoma" w:cs="Tahoma"/>
        <w:b/>
        <w:sz w:val="44"/>
        <w:szCs w:val="44"/>
      </w:rPr>
      <w:t>356-2011-TC-S1</w:t>
    </w:r>
  </w:p>
  <w:p w:rsidR="009A5713" w:rsidRDefault="009A571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rFonts w:cs="Times New Roman"/>
        <w:b/>
        <w:i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1080"/>
        </w:tabs>
        <w:ind w:left="10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1">
    <w:nsid w:val="072F5499"/>
    <w:multiLevelType w:val="hybridMultilevel"/>
    <w:tmpl w:val="592A12EA"/>
    <w:lvl w:ilvl="0" w:tplc="FE84A5FE">
      <w:start w:val="1"/>
      <w:numFmt w:val="decimal"/>
      <w:lvlText w:val="%1."/>
      <w:lvlJc w:val="left"/>
      <w:pPr>
        <w:ind w:left="720" w:hanging="360"/>
      </w:pPr>
      <w:rPr>
        <w:rFonts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9087D5E"/>
    <w:multiLevelType w:val="hybridMultilevel"/>
    <w:tmpl w:val="8BE68676"/>
    <w:lvl w:ilvl="0" w:tplc="BA58379A">
      <w:start w:val="1"/>
      <w:numFmt w:val="decimal"/>
      <w:lvlText w:val="%1."/>
      <w:lvlJc w:val="left"/>
      <w:pPr>
        <w:tabs>
          <w:tab w:val="num" w:pos="720"/>
        </w:tabs>
        <w:ind w:left="72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F982580"/>
    <w:multiLevelType w:val="hybridMultilevel"/>
    <w:tmpl w:val="A90A8DD0"/>
    <w:lvl w:ilvl="0" w:tplc="DEA4EFFE">
      <w:start w:val="1"/>
      <w:numFmt w:val="decimal"/>
      <w:lvlText w:val="%1."/>
      <w:lvlJc w:val="left"/>
      <w:pPr>
        <w:tabs>
          <w:tab w:val="num" w:pos="900"/>
        </w:tabs>
        <w:ind w:left="900" w:hanging="360"/>
      </w:pPr>
      <w:rPr>
        <w:rFonts w:ascii="Tahoma" w:hAnsi="Tahoma" w:cs="Tahoma" w:hint="default"/>
        <w:b/>
        <w:bCs/>
        <w:i w:val="0"/>
        <w:iCs w:val="0"/>
        <w:sz w:val="20"/>
        <w:szCs w:val="20"/>
      </w:rPr>
    </w:lvl>
    <w:lvl w:ilvl="1" w:tplc="00AE610E">
      <w:start w:val="1"/>
      <w:numFmt w:val="lowerLetter"/>
      <w:lvlText w:val="%2."/>
      <w:lvlJc w:val="left"/>
      <w:pPr>
        <w:tabs>
          <w:tab w:val="num" w:pos="360"/>
        </w:tabs>
        <w:ind w:left="360" w:hanging="360"/>
      </w:pPr>
      <w:rPr>
        <w:rFonts w:hint="default"/>
        <w:b/>
        <w:bCs/>
        <w:i w:val="0"/>
        <w:iCs w:val="0"/>
        <w:sz w:val="20"/>
        <w:szCs w:val="20"/>
      </w:rPr>
    </w:lvl>
    <w:lvl w:ilvl="2" w:tplc="65D8A646">
      <w:start w:val="4"/>
      <w:numFmt w:val="upperLetter"/>
      <w:lvlText w:val="%3."/>
      <w:lvlJc w:val="left"/>
      <w:pPr>
        <w:tabs>
          <w:tab w:val="num" w:pos="2880"/>
        </w:tabs>
        <w:ind w:left="2880" w:hanging="360"/>
      </w:pPr>
      <w:rPr>
        <w:rFonts w:hint="default"/>
      </w:rPr>
    </w:lvl>
    <w:lvl w:ilvl="3" w:tplc="FDB00D1E">
      <w:start w:val="2"/>
      <w:numFmt w:val="lowerRoman"/>
      <w:lvlText w:val="%4)"/>
      <w:lvlJc w:val="left"/>
      <w:pPr>
        <w:tabs>
          <w:tab w:val="num" w:pos="3780"/>
        </w:tabs>
        <w:ind w:left="3780" w:hanging="720"/>
      </w:pPr>
      <w:rPr>
        <w:rFonts w:hint="default"/>
      </w:rPr>
    </w:lvl>
    <w:lvl w:ilvl="4" w:tplc="0C0A0019">
      <w:start w:val="1"/>
      <w:numFmt w:val="lowerLetter"/>
      <w:lvlText w:val="%5."/>
      <w:lvlJc w:val="left"/>
      <w:pPr>
        <w:tabs>
          <w:tab w:val="num" w:pos="4140"/>
        </w:tabs>
        <w:ind w:left="4140" w:hanging="360"/>
      </w:pPr>
    </w:lvl>
    <w:lvl w:ilvl="5" w:tplc="0C0A001B">
      <w:start w:val="1"/>
      <w:numFmt w:val="lowerRoman"/>
      <w:lvlText w:val="%6."/>
      <w:lvlJc w:val="right"/>
      <w:pPr>
        <w:tabs>
          <w:tab w:val="num" w:pos="4860"/>
        </w:tabs>
        <w:ind w:left="4860" w:hanging="180"/>
      </w:pPr>
    </w:lvl>
    <w:lvl w:ilvl="6" w:tplc="0C0A000F">
      <w:start w:val="1"/>
      <w:numFmt w:val="decimal"/>
      <w:lvlText w:val="%7."/>
      <w:lvlJc w:val="left"/>
      <w:pPr>
        <w:tabs>
          <w:tab w:val="num" w:pos="5580"/>
        </w:tabs>
        <w:ind w:left="5580" w:hanging="360"/>
      </w:pPr>
    </w:lvl>
    <w:lvl w:ilvl="7" w:tplc="0C0A0019">
      <w:start w:val="1"/>
      <w:numFmt w:val="lowerLetter"/>
      <w:lvlText w:val="%8."/>
      <w:lvlJc w:val="left"/>
      <w:pPr>
        <w:tabs>
          <w:tab w:val="num" w:pos="6300"/>
        </w:tabs>
        <w:ind w:left="6300" w:hanging="360"/>
      </w:pPr>
    </w:lvl>
    <w:lvl w:ilvl="8" w:tplc="0C0A001B">
      <w:start w:val="1"/>
      <w:numFmt w:val="lowerRoman"/>
      <w:lvlText w:val="%9."/>
      <w:lvlJc w:val="right"/>
      <w:pPr>
        <w:tabs>
          <w:tab w:val="num" w:pos="7020"/>
        </w:tabs>
        <w:ind w:left="7020" w:hanging="180"/>
      </w:pPr>
    </w:lvl>
  </w:abstractNum>
  <w:abstractNum w:abstractNumId="4">
    <w:nsid w:val="354256F0"/>
    <w:multiLevelType w:val="hybridMultilevel"/>
    <w:tmpl w:val="7102F08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3CDF6F1B"/>
    <w:multiLevelType w:val="hybridMultilevel"/>
    <w:tmpl w:val="C5A8305A"/>
    <w:lvl w:ilvl="0" w:tplc="B1A6D17A">
      <w:start w:val="1"/>
      <w:numFmt w:val="lowerLetter"/>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6">
    <w:nsid w:val="4ADA5249"/>
    <w:multiLevelType w:val="multilevel"/>
    <w:tmpl w:val="29DEB43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5644429D"/>
    <w:multiLevelType w:val="hybridMultilevel"/>
    <w:tmpl w:val="637E314C"/>
    <w:lvl w:ilvl="0" w:tplc="B8E24E50">
      <w:start w:val="1"/>
      <w:numFmt w:val="lowerRoman"/>
      <w:lvlText w:val="%1."/>
      <w:lvlJc w:val="right"/>
      <w:pPr>
        <w:ind w:left="1287" w:hanging="360"/>
      </w:pPr>
      <w:rPr>
        <w:b/>
        <w:bCs/>
        <w:sz w:val="20"/>
        <w:szCs w:val="20"/>
      </w:rPr>
    </w:lvl>
    <w:lvl w:ilvl="1" w:tplc="0C0A0019">
      <w:start w:val="1"/>
      <w:numFmt w:val="lowerLetter"/>
      <w:lvlText w:val="%2."/>
      <w:lvlJc w:val="left"/>
      <w:pPr>
        <w:ind w:left="2007" w:hanging="360"/>
      </w:pPr>
    </w:lvl>
    <w:lvl w:ilvl="2" w:tplc="0C0A001B">
      <w:start w:val="1"/>
      <w:numFmt w:val="lowerRoman"/>
      <w:lvlText w:val="%3."/>
      <w:lvlJc w:val="right"/>
      <w:pPr>
        <w:ind w:left="2727" w:hanging="180"/>
      </w:pPr>
    </w:lvl>
    <w:lvl w:ilvl="3" w:tplc="0C0A000F">
      <w:start w:val="1"/>
      <w:numFmt w:val="decimal"/>
      <w:lvlText w:val="%4."/>
      <w:lvlJc w:val="left"/>
      <w:pPr>
        <w:ind w:left="3447" w:hanging="360"/>
      </w:pPr>
    </w:lvl>
    <w:lvl w:ilvl="4" w:tplc="0C0A0019">
      <w:start w:val="1"/>
      <w:numFmt w:val="lowerLetter"/>
      <w:lvlText w:val="%5."/>
      <w:lvlJc w:val="left"/>
      <w:pPr>
        <w:ind w:left="4167" w:hanging="360"/>
      </w:pPr>
    </w:lvl>
    <w:lvl w:ilvl="5" w:tplc="0C0A001B">
      <w:start w:val="1"/>
      <w:numFmt w:val="lowerRoman"/>
      <w:lvlText w:val="%6."/>
      <w:lvlJc w:val="right"/>
      <w:pPr>
        <w:ind w:left="4887" w:hanging="180"/>
      </w:pPr>
    </w:lvl>
    <w:lvl w:ilvl="6" w:tplc="0C0A000F">
      <w:start w:val="1"/>
      <w:numFmt w:val="decimal"/>
      <w:lvlText w:val="%7."/>
      <w:lvlJc w:val="left"/>
      <w:pPr>
        <w:ind w:left="5607" w:hanging="360"/>
      </w:pPr>
    </w:lvl>
    <w:lvl w:ilvl="7" w:tplc="0C0A0019">
      <w:start w:val="1"/>
      <w:numFmt w:val="lowerLetter"/>
      <w:lvlText w:val="%8."/>
      <w:lvlJc w:val="left"/>
      <w:pPr>
        <w:ind w:left="6327" w:hanging="360"/>
      </w:pPr>
    </w:lvl>
    <w:lvl w:ilvl="8" w:tplc="0C0A001B">
      <w:start w:val="1"/>
      <w:numFmt w:val="lowerRoman"/>
      <w:lvlText w:val="%9."/>
      <w:lvlJc w:val="right"/>
      <w:pPr>
        <w:ind w:left="7047" w:hanging="180"/>
      </w:pPr>
    </w:lvl>
  </w:abstractNum>
  <w:abstractNum w:abstractNumId="8">
    <w:nsid w:val="74D02A33"/>
    <w:multiLevelType w:val="hybridMultilevel"/>
    <w:tmpl w:val="A7306BA6"/>
    <w:lvl w:ilvl="0" w:tplc="21262260">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7231F5"/>
    <w:rsid w:val="001009D3"/>
    <w:rsid w:val="00245BA8"/>
    <w:rsid w:val="00250FE9"/>
    <w:rsid w:val="002C271F"/>
    <w:rsid w:val="004D3A62"/>
    <w:rsid w:val="0066645E"/>
    <w:rsid w:val="007231F5"/>
    <w:rsid w:val="0096071E"/>
    <w:rsid w:val="009A5713"/>
    <w:rsid w:val="00A83573"/>
    <w:rsid w:val="00B36462"/>
    <w:rsid w:val="00B365EB"/>
    <w:rsid w:val="00B373A9"/>
    <w:rsid w:val="00C15123"/>
    <w:rsid w:val="00D86598"/>
    <w:rsid w:val="00EA56F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1F5"/>
    <w:rPr>
      <w:rFonts w:ascii="Calibri" w:eastAsia="Calibri" w:hAnsi="Calibri" w:cs="Times New Roman"/>
    </w:rPr>
  </w:style>
  <w:style w:type="paragraph" w:styleId="Ttulo2">
    <w:name w:val="heading 2"/>
    <w:basedOn w:val="Normal"/>
    <w:next w:val="Normal"/>
    <w:link w:val="Ttulo2Car"/>
    <w:qFormat/>
    <w:rsid w:val="007231F5"/>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7231F5"/>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231F5"/>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7231F5"/>
    <w:rPr>
      <w:rFonts w:ascii="Arial" w:eastAsia="Calibri" w:hAnsi="Arial" w:cs="Arial"/>
      <w:b/>
      <w:bCs/>
      <w:sz w:val="26"/>
      <w:szCs w:val="26"/>
    </w:rPr>
  </w:style>
  <w:style w:type="paragraph" w:styleId="Textoindependiente3">
    <w:name w:val="Body Text 3"/>
    <w:basedOn w:val="Normal"/>
    <w:link w:val="Textoindependiente3Car"/>
    <w:semiHidden/>
    <w:unhideWhenUsed/>
    <w:rsid w:val="007231F5"/>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7231F5"/>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7231F5"/>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7231F5"/>
    <w:pPr>
      <w:tabs>
        <w:tab w:val="center" w:pos="4252"/>
        <w:tab w:val="right" w:pos="8504"/>
      </w:tabs>
    </w:pPr>
  </w:style>
  <w:style w:type="character" w:customStyle="1" w:styleId="PiedepginaCar">
    <w:name w:val="Pie de página Car"/>
    <w:basedOn w:val="Fuentedeprrafopredeter"/>
    <w:link w:val="Piedepgina"/>
    <w:uiPriority w:val="99"/>
    <w:rsid w:val="007231F5"/>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
    <w:basedOn w:val="Normal"/>
    <w:link w:val="TextonotapieCar"/>
    <w:rsid w:val="007231F5"/>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
    <w:basedOn w:val="Fuentedeprrafopredeter"/>
    <w:link w:val="Textonotapie"/>
    <w:rsid w:val="007231F5"/>
    <w:rPr>
      <w:rFonts w:ascii="Tahoma" w:eastAsia="Calibri" w:hAnsi="Tahoma" w:cs="Tahoma"/>
      <w:sz w:val="20"/>
      <w:szCs w:val="20"/>
    </w:rPr>
  </w:style>
  <w:style w:type="character" w:styleId="Refdenotaalpie">
    <w:name w:val="footnote reference"/>
    <w:basedOn w:val="Fuentedeprrafopredeter"/>
    <w:semiHidden/>
    <w:rsid w:val="007231F5"/>
    <w:rPr>
      <w:vertAlign w:val="superscript"/>
    </w:rPr>
  </w:style>
  <w:style w:type="paragraph" w:styleId="Textoindependiente">
    <w:name w:val="Body Text"/>
    <w:basedOn w:val="Normal"/>
    <w:link w:val="TextoindependienteCar"/>
    <w:uiPriority w:val="99"/>
    <w:unhideWhenUsed/>
    <w:rsid w:val="007231F5"/>
    <w:pPr>
      <w:spacing w:after="120"/>
    </w:pPr>
  </w:style>
  <w:style w:type="character" w:customStyle="1" w:styleId="TextoindependienteCar">
    <w:name w:val="Texto independiente Car"/>
    <w:basedOn w:val="Fuentedeprrafopredeter"/>
    <w:link w:val="Textoindependiente"/>
    <w:uiPriority w:val="99"/>
    <w:rsid w:val="007231F5"/>
    <w:rPr>
      <w:rFonts w:ascii="Calibri" w:eastAsia="Calibri" w:hAnsi="Calibri" w:cs="Times New Roman"/>
    </w:rPr>
  </w:style>
  <w:style w:type="paragraph" w:styleId="Textoindependiente2">
    <w:name w:val="Body Text 2"/>
    <w:basedOn w:val="Normal"/>
    <w:link w:val="Textoindependiente2Car"/>
    <w:uiPriority w:val="99"/>
    <w:semiHidden/>
    <w:unhideWhenUsed/>
    <w:rsid w:val="007231F5"/>
    <w:pPr>
      <w:spacing w:after="120" w:line="480" w:lineRule="auto"/>
    </w:pPr>
  </w:style>
  <w:style w:type="character" w:customStyle="1" w:styleId="Textoindependiente2Car">
    <w:name w:val="Texto independiente 2 Car"/>
    <w:basedOn w:val="Fuentedeprrafopredeter"/>
    <w:link w:val="Textoindependiente2"/>
    <w:uiPriority w:val="99"/>
    <w:semiHidden/>
    <w:rsid w:val="007231F5"/>
    <w:rPr>
      <w:rFonts w:ascii="Calibri" w:eastAsia="Calibri" w:hAnsi="Calibri" w:cs="Times New Roman"/>
    </w:rPr>
  </w:style>
  <w:style w:type="paragraph" w:styleId="NormalWeb">
    <w:name w:val="Normal (Web)"/>
    <w:basedOn w:val="Normal"/>
    <w:rsid w:val="007231F5"/>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ListParagraph1">
    <w:name w:val="List Paragraph1"/>
    <w:basedOn w:val="Normal"/>
    <w:rsid w:val="007231F5"/>
    <w:pPr>
      <w:spacing w:after="0" w:line="240" w:lineRule="auto"/>
      <w:ind w:left="720"/>
    </w:pPr>
    <w:rPr>
      <w:rFonts w:ascii="Times New Roman" w:eastAsia="Times New Roman" w:hAnsi="Times New Roman"/>
      <w:sz w:val="24"/>
      <w:szCs w:val="24"/>
      <w:lang w:eastAsia="es-ES"/>
    </w:rPr>
  </w:style>
  <w:style w:type="paragraph" w:styleId="Encabezado">
    <w:name w:val="header"/>
    <w:aliases w:val="maria,h"/>
    <w:basedOn w:val="Normal"/>
    <w:link w:val="EncabezadoCar"/>
    <w:uiPriority w:val="99"/>
    <w:semiHidden/>
    <w:unhideWhenUsed/>
    <w:rsid w:val="009A5713"/>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9A571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3995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2982</Words>
  <Characters>16405</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2011-02-25T22:13:00Z</cp:lastPrinted>
  <dcterms:created xsi:type="dcterms:W3CDTF">2011-02-25T21:58:00Z</dcterms:created>
  <dcterms:modified xsi:type="dcterms:W3CDTF">2011-03-07T16:38:00Z</dcterms:modified>
</cp:coreProperties>
</file>